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21E" w:rsidRDefault="0072721E">
      <w:pPr>
        <w:pBdr>
          <w:top w:val="nil"/>
          <w:left w:val="nil"/>
          <w:bottom w:val="nil"/>
          <w:right w:val="nil"/>
          <w:between w:val="nil"/>
        </w:pBdr>
        <w:tabs>
          <w:tab w:val="center" w:pos="4513"/>
          <w:tab w:val="right" w:pos="9026"/>
        </w:tabs>
        <w:ind w:left="357" w:hanging="357"/>
        <w:jc w:val="center"/>
        <w:rPr>
          <w:b/>
          <w:color w:val="000000"/>
        </w:rPr>
      </w:pPr>
      <w:bookmarkStart w:id="0" w:name="_GoBack"/>
      <w:bookmarkEnd w:id="0"/>
    </w:p>
    <w:p w:rsidR="0072721E" w:rsidRDefault="0072721E">
      <w:pPr>
        <w:jc w:val="center"/>
        <w:rPr>
          <w:b/>
          <w:sz w:val="44"/>
          <w:szCs w:val="44"/>
        </w:rPr>
      </w:pPr>
    </w:p>
    <w:p w:rsidR="0072721E" w:rsidRDefault="007F04EE">
      <w:pPr>
        <w:jc w:val="center"/>
        <w:rPr>
          <w:b/>
          <w:sz w:val="52"/>
          <w:szCs w:val="52"/>
        </w:rPr>
      </w:pPr>
      <w:r>
        <w:rPr>
          <w:b/>
          <w:sz w:val="52"/>
          <w:szCs w:val="52"/>
        </w:rPr>
        <w:t>Special FFC 121</w:t>
      </w:r>
    </w:p>
    <w:p w:rsidR="0072721E" w:rsidRDefault="0072721E">
      <w:pPr>
        <w:jc w:val="center"/>
        <w:rPr>
          <w:b/>
          <w:sz w:val="18"/>
          <w:szCs w:val="18"/>
        </w:rPr>
      </w:pPr>
    </w:p>
    <w:p w:rsidR="0072721E" w:rsidRDefault="007F04EE">
      <w:pPr>
        <w:jc w:val="center"/>
        <w:rPr>
          <w:i/>
          <w:sz w:val="28"/>
          <w:szCs w:val="28"/>
        </w:rPr>
      </w:pPr>
      <w:r>
        <w:rPr>
          <w:i/>
          <w:sz w:val="28"/>
          <w:szCs w:val="28"/>
        </w:rPr>
        <w:t>23-26 November</w:t>
      </w:r>
    </w:p>
    <w:p w:rsidR="0072721E" w:rsidRDefault="0072721E">
      <w:pPr>
        <w:jc w:val="center"/>
        <w:rPr>
          <w:b/>
          <w:sz w:val="44"/>
          <w:szCs w:val="44"/>
        </w:rPr>
      </w:pPr>
    </w:p>
    <w:p w:rsidR="0072721E" w:rsidRDefault="0072721E">
      <w:pPr>
        <w:jc w:val="center"/>
        <w:rPr>
          <w:b/>
          <w:sz w:val="44"/>
          <w:szCs w:val="44"/>
        </w:rPr>
      </w:pPr>
    </w:p>
    <w:p w:rsidR="0072721E" w:rsidRDefault="007F04EE">
      <w:pPr>
        <w:jc w:val="center"/>
        <w:rPr>
          <w:b/>
          <w:sz w:val="44"/>
          <w:szCs w:val="44"/>
        </w:rPr>
      </w:pPr>
      <w:r>
        <w:rPr>
          <w:b/>
          <w:sz w:val="44"/>
          <w:szCs w:val="44"/>
        </w:rPr>
        <w:t xml:space="preserve">FFA BRIEF </w:t>
      </w:r>
    </w:p>
    <w:p w:rsidR="0072721E" w:rsidRDefault="007F04EE">
      <w:pPr>
        <w:jc w:val="center"/>
        <w:rPr>
          <w:sz w:val="32"/>
          <w:szCs w:val="32"/>
        </w:rPr>
      </w:pPr>
      <w:r>
        <w:rPr>
          <w:sz w:val="32"/>
          <w:szCs w:val="32"/>
        </w:rPr>
        <w:t>FOR THE</w:t>
      </w:r>
    </w:p>
    <w:p w:rsidR="0072721E" w:rsidRDefault="007F04EE">
      <w:pPr>
        <w:jc w:val="center"/>
        <w:rPr>
          <w:b/>
          <w:sz w:val="44"/>
          <w:szCs w:val="44"/>
        </w:rPr>
      </w:pPr>
      <w:r>
        <w:rPr>
          <w:b/>
          <w:sz w:val="44"/>
          <w:szCs w:val="44"/>
        </w:rPr>
        <w:t xml:space="preserve">EIGHTEENTH REGULAR SESSION </w:t>
      </w:r>
    </w:p>
    <w:p w:rsidR="0072721E" w:rsidRDefault="007F04EE">
      <w:pPr>
        <w:jc w:val="center"/>
        <w:rPr>
          <w:sz w:val="32"/>
          <w:szCs w:val="32"/>
        </w:rPr>
      </w:pPr>
      <w:r>
        <w:rPr>
          <w:sz w:val="32"/>
          <w:szCs w:val="32"/>
        </w:rPr>
        <w:t>OF THE</w:t>
      </w:r>
    </w:p>
    <w:p w:rsidR="0072721E" w:rsidRDefault="007F04EE">
      <w:pPr>
        <w:jc w:val="center"/>
        <w:rPr>
          <w:b/>
          <w:sz w:val="36"/>
          <w:szCs w:val="36"/>
        </w:rPr>
      </w:pPr>
      <w:r>
        <w:rPr>
          <w:b/>
          <w:sz w:val="36"/>
          <w:szCs w:val="36"/>
        </w:rPr>
        <w:t>WESTERN AND CENTRAL PACIFIC FISHERIES COMMISSION</w:t>
      </w:r>
    </w:p>
    <w:p w:rsidR="0072721E" w:rsidRDefault="007F04EE">
      <w:pPr>
        <w:jc w:val="center"/>
        <w:rPr>
          <w:sz w:val="36"/>
          <w:szCs w:val="36"/>
        </w:rPr>
      </w:pPr>
      <w:r>
        <w:rPr>
          <w:sz w:val="36"/>
          <w:szCs w:val="36"/>
        </w:rPr>
        <w:t>29 Nov-7 Dec 2021</w:t>
      </w:r>
    </w:p>
    <w:p w:rsidR="0072721E" w:rsidRDefault="0072721E">
      <w:pPr>
        <w:jc w:val="center"/>
        <w:rPr>
          <w:b/>
          <w:sz w:val="28"/>
          <w:szCs w:val="28"/>
          <w:highlight w:val="yellow"/>
        </w:rPr>
      </w:pPr>
    </w:p>
    <w:p w:rsidR="0072721E" w:rsidRDefault="007F04EE">
      <w:pPr>
        <w:jc w:val="center"/>
        <w:rPr>
          <w:b/>
          <w:sz w:val="28"/>
          <w:szCs w:val="28"/>
        </w:rPr>
      </w:pPr>
      <w:r>
        <w:rPr>
          <w:i/>
          <w:sz w:val="28"/>
          <w:szCs w:val="28"/>
        </w:rPr>
        <w:t>Online</w:t>
      </w:r>
    </w:p>
    <w:p w:rsidR="0072721E" w:rsidRDefault="0072721E">
      <w:pPr>
        <w:jc w:val="center"/>
        <w:rPr>
          <w:b/>
          <w:sz w:val="28"/>
          <w:szCs w:val="28"/>
        </w:rPr>
      </w:pPr>
    </w:p>
    <w:p w:rsidR="0072721E" w:rsidRDefault="007F04EE">
      <w:pPr>
        <w:jc w:val="center"/>
        <w:rPr>
          <w:b/>
          <w:sz w:val="44"/>
          <w:szCs w:val="44"/>
        </w:rPr>
      </w:pPr>
      <w:r>
        <w:rPr>
          <w:b/>
          <w:sz w:val="44"/>
          <w:szCs w:val="44"/>
        </w:rPr>
        <w:t>FOR FFA EYES ONLY</w:t>
      </w:r>
    </w:p>
    <w:p w:rsidR="0072721E" w:rsidRDefault="0072721E">
      <w:pPr>
        <w:jc w:val="right"/>
        <w:rPr>
          <w:b/>
          <w:highlight w:val="yellow"/>
        </w:rPr>
      </w:pPr>
    </w:p>
    <w:p w:rsidR="0072721E" w:rsidRDefault="0072721E">
      <w:pPr>
        <w:jc w:val="right"/>
        <w:rPr>
          <w:b/>
          <w:highlight w:val="yellow"/>
        </w:rPr>
      </w:pPr>
    </w:p>
    <w:p w:rsidR="0072721E" w:rsidRDefault="0072721E">
      <w:pPr>
        <w:jc w:val="right"/>
        <w:rPr>
          <w:b/>
          <w:highlight w:val="yellow"/>
        </w:rPr>
      </w:pPr>
    </w:p>
    <w:p w:rsidR="0072721E" w:rsidRDefault="007F04EE">
      <w:pPr>
        <w:jc w:val="right"/>
        <w:rPr>
          <w:b/>
        </w:rPr>
      </w:pPr>
      <w:r>
        <w:rPr>
          <w:b/>
        </w:rPr>
        <w:t>Main Brief</w:t>
      </w:r>
    </w:p>
    <w:p w:rsidR="0072721E" w:rsidRDefault="007F04EE">
      <w:pPr>
        <w:jc w:val="right"/>
        <w:rPr>
          <w:i/>
        </w:rPr>
      </w:pPr>
      <w:r>
        <w:rPr>
          <w:b/>
        </w:rPr>
        <w:t>Dated:     10</w:t>
      </w:r>
      <w:r>
        <w:rPr>
          <w:vertAlign w:val="superscript"/>
        </w:rPr>
        <w:t>th</w:t>
      </w:r>
      <w:r>
        <w:t xml:space="preserve"> November 2021</w:t>
      </w:r>
      <w:r>
        <w:br w:type="page"/>
      </w:r>
    </w:p>
    <w:p w:rsidR="0072721E" w:rsidRDefault="0072721E">
      <w:pPr>
        <w:rPr>
          <w:b/>
        </w:rPr>
      </w:pPr>
    </w:p>
    <w:tbl>
      <w:tblPr>
        <w:tblStyle w:val="a"/>
        <w:tblW w:w="10185" w:type="dxa"/>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85"/>
      </w:tblGrid>
      <w:tr w:rsidR="0072721E">
        <w:tc>
          <w:tcPr>
            <w:tcW w:w="10185" w:type="dxa"/>
            <w:tcBorders>
              <w:top w:val="single" w:sz="8" w:space="0" w:color="FFFFFF"/>
              <w:left w:val="single" w:sz="8" w:space="0" w:color="FFFFFF"/>
              <w:bottom w:val="single" w:sz="8" w:space="0" w:color="FFFFFF"/>
              <w:right w:val="single" w:sz="8" w:space="0" w:color="FFFFFF"/>
            </w:tcBorders>
            <w:shd w:val="clear" w:color="auto" w:fill="B6D7A8"/>
            <w:tcMar>
              <w:top w:w="100" w:type="dxa"/>
              <w:left w:w="100" w:type="dxa"/>
              <w:bottom w:w="100" w:type="dxa"/>
              <w:right w:w="100" w:type="dxa"/>
            </w:tcMar>
          </w:tcPr>
          <w:p w:rsidR="0072721E" w:rsidRDefault="007F04EE">
            <w:pPr>
              <w:rPr>
                <w:b/>
              </w:rPr>
            </w:pPr>
            <w:r>
              <w:rPr>
                <w:b/>
              </w:rPr>
              <w:t xml:space="preserve">FFA ISMS classification: </w:t>
            </w:r>
            <w:r>
              <w:rPr>
                <w:i/>
              </w:rPr>
              <w:t>This document is classified as ‘Green’ low security classification in accordance with the FFA Information Security Management System (ISMS). A Green classification means that this document may be shared with FFA members but is not to be shared in public forums</w:t>
            </w:r>
            <w:r>
              <w:t>.</w:t>
            </w:r>
          </w:p>
          <w:p w:rsidR="0072721E" w:rsidRDefault="007F04EE">
            <w:pPr>
              <w:rPr>
                <w:b/>
              </w:rPr>
            </w:pPr>
            <w:r>
              <w:rPr>
                <w:i/>
              </w:rPr>
              <w:t xml:space="preserve">This document may also contain </w:t>
            </w:r>
            <w:r>
              <w:rPr>
                <w:i/>
                <w:u w:val="single"/>
              </w:rPr>
              <w:t>Non-Public Domain Data</w:t>
            </w:r>
            <w:r>
              <w:rPr>
                <w:i/>
              </w:rPr>
              <w:t xml:space="preserve"> as classified under the </w:t>
            </w:r>
            <w:r>
              <w:rPr>
                <w:b/>
                <w:i/>
              </w:rPr>
              <w:t>WCPFC Data Rules</w:t>
            </w:r>
            <w:r>
              <w:rPr>
                <w:i/>
              </w:rPr>
              <w:t xml:space="preserve">, and must be managed in accordance with those rules. </w:t>
            </w:r>
          </w:p>
        </w:tc>
      </w:tr>
    </w:tbl>
    <w:p w:rsidR="0072721E" w:rsidRDefault="007F04EE">
      <w:pPr>
        <w:rPr>
          <w:i/>
        </w:rPr>
      </w:pPr>
      <w:r>
        <w:rPr>
          <w:i/>
        </w:rPr>
        <w:t xml:space="preserve"> </w:t>
      </w:r>
    </w:p>
    <w:p w:rsidR="0072721E" w:rsidRDefault="007F04EE">
      <w:pPr>
        <w:pBdr>
          <w:top w:val="nil"/>
          <w:left w:val="nil"/>
          <w:bottom w:val="nil"/>
          <w:right w:val="nil"/>
          <w:between w:val="nil"/>
        </w:pBdr>
        <w:ind w:left="357" w:hanging="357"/>
        <w:rPr>
          <w:b/>
        </w:rPr>
      </w:pPr>
      <w:r>
        <w:rPr>
          <w:b/>
          <w:color w:val="000000"/>
          <w:sz w:val="24"/>
          <w:szCs w:val="24"/>
        </w:rPr>
        <w:t>INTRODUCTION</w:t>
      </w:r>
    </w:p>
    <w:p w:rsidR="0072721E" w:rsidRDefault="007F04EE">
      <w:pPr>
        <w:ind w:left="0"/>
      </w:pPr>
      <w:r>
        <w:t>The Eighteenth Regular Session of the Western and Central Pacific Fisheries Commission (</w:t>
      </w:r>
      <w:r>
        <w:rPr>
          <w:b/>
        </w:rPr>
        <w:t>WCPFC18</w:t>
      </w:r>
      <w:r>
        <w:t>) will be held from 1st  – 7th December 2021.</w:t>
      </w:r>
    </w:p>
    <w:p w:rsidR="0072721E" w:rsidRDefault="007F04EE">
      <w:pPr>
        <w:ind w:left="0"/>
      </w:pPr>
      <w:r>
        <w:t xml:space="preserve">You can register for WCPFC18 at this link </w:t>
      </w:r>
      <w:hyperlink r:id="rId7">
        <w:r>
          <w:rPr>
            <w:color w:val="1155CC"/>
            <w:u w:val="single"/>
          </w:rPr>
          <w:t>Register for 18th Regular Session of the Commission | WCPFC Meetings</w:t>
        </w:r>
      </w:hyperlink>
    </w:p>
    <w:p w:rsidR="0072721E" w:rsidRDefault="0072721E">
      <w:pPr>
        <w:ind w:left="0"/>
      </w:pPr>
    </w:p>
    <w:p w:rsidR="0072721E" w:rsidRDefault="007F04EE">
      <w:pPr>
        <w:ind w:left="0"/>
        <w:rPr>
          <w:highlight w:val="yellow"/>
        </w:rPr>
      </w:pPr>
      <w:r>
        <w:t xml:space="preserve"> In advance of this are the following meetings: </w:t>
      </w:r>
    </w:p>
    <w:p w:rsidR="0072721E" w:rsidRDefault="007F04EE">
      <w:pPr>
        <w:numPr>
          <w:ilvl w:val="2"/>
          <w:numId w:val="5"/>
        </w:numPr>
        <w:ind w:left="851"/>
      </w:pPr>
      <w:r>
        <w:rPr>
          <w:b/>
        </w:rPr>
        <w:t>15</w:t>
      </w:r>
      <w:r>
        <w:rPr>
          <w:b/>
          <w:vertAlign w:val="superscript"/>
        </w:rPr>
        <w:t>th</w:t>
      </w:r>
      <w:r>
        <w:rPr>
          <w:b/>
        </w:rPr>
        <w:t xml:space="preserve"> Finance and Administration Committee (FAC12) </w:t>
      </w:r>
      <w:r>
        <w:t xml:space="preserve"> </w:t>
      </w:r>
      <w:r>
        <w:tab/>
        <w:t>29</w:t>
      </w:r>
      <w:r>
        <w:rPr>
          <w:vertAlign w:val="superscript"/>
        </w:rPr>
        <w:t xml:space="preserve">th </w:t>
      </w:r>
      <w:r>
        <w:t>November 0900 - 1100h</w:t>
      </w:r>
    </w:p>
    <w:p w:rsidR="0072721E" w:rsidRDefault="007F04EE">
      <w:pPr>
        <w:numPr>
          <w:ilvl w:val="2"/>
          <w:numId w:val="5"/>
        </w:numPr>
        <w:ind w:left="851"/>
      </w:pPr>
      <w:r>
        <w:rPr>
          <w:b/>
        </w:rPr>
        <w:t xml:space="preserve">Heads of Delegation </w:t>
      </w:r>
      <w:r>
        <w:rPr>
          <w:b/>
        </w:rPr>
        <w:tab/>
      </w:r>
      <w:r>
        <w:rPr>
          <w:b/>
        </w:rPr>
        <w:tab/>
      </w:r>
      <w:r>
        <w:rPr>
          <w:b/>
        </w:rPr>
        <w:tab/>
      </w:r>
      <w:r>
        <w:rPr>
          <w:b/>
        </w:rPr>
        <w:tab/>
      </w:r>
      <w:r>
        <w:rPr>
          <w:b/>
        </w:rPr>
        <w:tab/>
      </w:r>
      <w:r>
        <w:t>29</w:t>
      </w:r>
      <w:r>
        <w:rPr>
          <w:vertAlign w:val="superscript"/>
        </w:rPr>
        <w:t xml:space="preserve">th </w:t>
      </w:r>
      <w:r>
        <w:t xml:space="preserve">November 1130h - 1330h </w:t>
      </w:r>
    </w:p>
    <w:p w:rsidR="0072721E" w:rsidRDefault="0072721E">
      <w:pPr>
        <w:ind w:left="0"/>
      </w:pPr>
    </w:p>
    <w:p w:rsidR="0072721E" w:rsidRDefault="007F04EE">
      <w:pPr>
        <w:ind w:left="0"/>
        <w:rPr>
          <w:b/>
        </w:rPr>
      </w:pPr>
      <w:r>
        <w:t xml:space="preserve">Members are reminded to ensure their delegations credentials are submitted to the Executive Director no later than 24 hours after the opening of the Annual Session, in accordance with Rule 6(3) of the WCPFC Rules of Procedure. </w:t>
      </w:r>
    </w:p>
    <w:p w:rsidR="0072721E" w:rsidRDefault="0072721E">
      <w:pPr>
        <w:ind w:left="0"/>
        <w:rPr>
          <w:b/>
        </w:rPr>
      </w:pPr>
    </w:p>
    <w:p w:rsidR="0072721E" w:rsidRDefault="007F04EE">
      <w:pPr>
        <w:ind w:left="0"/>
      </w:pPr>
      <w:r>
        <w:rPr>
          <w:b/>
        </w:rPr>
        <w:t xml:space="preserve">Special FFC121 </w:t>
      </w:r>
      <w:r>
        <w:t>will meet from Tuesday 23rd November to Friday 26th November online using the Zoom platform.</w:t>
      </w:r>
    </w:p>
    <w:p w:rsidR="0072721E" w:rsidRDefault="0072721E">
      <w:pPr>
        <w:ind w:left="0"/>
        <w:rPr>
          <w:b/>
        </w:rPr>
      </w:pPr>
    </w:p>
    <w:tbl>
      <w:tblPr>
        <w:tblStyle w:val="a0"/>
        <w:tblW w:w="102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6"/>
      </w:tblGrid>
      <w:tr w:rsidR="0072721E">
        <w:tc>
          <w:tcPr>
            <w:tcW w:w="10206" w:type="dxa"/>
            <w:shd w:val="clear" w:color="auto" w:fill="auto"/>
            <w:tcMar>
              <w:top w:w="100" w:type="dxa"/>
              <w:left w:w="100" w:type="dxa"/>
              <w:bottom w:w="100" w:type="dxa"/>
              <w:right w:w="100" w:type="dxa"/>
            </w:tcMar>
          </w:tcPr>
          <w:p w:rsidR="0072721E" w:rsidRDefault="007F04EE">
            <w:pPr>
              <w:ind w:left="0"/>
            </w:pPr>
            <w:r>
              <w:rPr>
                <w:b/>
              </w:rPr>
              <w:t>Pre-Registration:</w:t>
            </w:r>
            <w:r>
              <w:t xml:space="preserve"> Members are requested to pre-register for the Special FFC 121. The link to register in advance for the Zoom Meeting for Special FFC 121 is below:</w:t>
            </w:r>
          </w:p>
          <w:p w:rsidR="0072721E" w:rsidRDefault="007F04EE">
            <w:pPr>
              <w:ind w:left="0"/>
            </w:pPr>
            <w:hyperlink r:id="rId8">
              <w:r>
                <w:rPr>
                  <w:color w:val="1155CC"/>
                  <w:u w:val="single"/>
                </w:rPr>
                <w:t>https://ffa-int.zoom.us/meeting/register/tZ0sceuhpjgtHdDHYC2vkFw0_CKJzf6v0xgI</w:t>
              </w:r>
            </w:hyperlink>
          </w:p>
          <w:p w:rsidR="0072721E" w:rsidRDefault="007F04EE">
            <w:pPr>
              <w:ind w:left="0"/>
            </w:pPr>
            <w:r>
              <w:t>After registering, you will receive a confirmation email containing information about joining the meeting.</w:t>
            </w:r>
          </w:p>
          <w:p w:rsidR="0072721E" w:rsidRDefault="007F04EE">
            <w:pPr>
              <w:widowControl w:val="0"/>
              <w:pBdr>
                <w:top w:val="nil"/>
                <w:left w:val="nil"/>
                <w:bottom w:val="nil"/>
                <w:right w:val="nil"/>
                <w:between w:val="nil"/>
              </w:pBdr>
              <w:spacing w:after="0"/>
              <w:ind w:left="0"/>
              <w:jc w:val="left"/>
              <w:rPr>
                <w:b/>
              </w:rPr>
            </w:pPr>
            <w:r>
              <w:rPr>
                <w:b/>
              </w:rPr>
              <w:t>We request that all participants pre-register at least a day before the meeting commences.</w:t>
            </w:r>
          </w:p>
        </w:tc>
      </w:tr>
    </w:tbl>
    <w:p w:rsidR="0072721E" w:rsidRDefault="0072721E">
      <w:pPr>
        <w:ind w:left="0"/>
        <w:rPr>
          <w:b/>
          <w:color w:val="000000"/>
          <w:highlight w:val="yellow"/>
        </w:rPr>
      </w:pPr>
    </w:p>
    <w:p w:rsidR="0072721E" w:rsidRDefault="007F04EE">
      <w:pPr>
        <w:rPr>
          <w:b/>
          <w:highlight w:val="yellow"/>
        </w:rPr>
      </w:pPr>
      <w:r>
        <w:br w:type="page"/>
      </w:r>
    </w:p>
    <w:p w:rsidR="0072721E" w:rsidRDefault="0072721E">
      <w:pPr>
        <w:rPr>
          <w:b/>
          <w:highlight w:val="yellow"/>
        </w:rPr>
      </w:pPr>
    </w:p>
    <w:p w:rsidR="0072721E" w:rsidRDefault="007F04EE">
      <w:pPr>
        <w:keepNext/>
        <w:keepLines/>
        <w:pBdr>
          <w:top w:val="nil"/>
          <w:left w:val="nil"/>
          <w:bottom w:val="nil"/>
          <w:right w:val="nil"/>
          <w:between w:val="nil"/>
        </w:pBdr>
        <w:ind w:left="0"/>
        <w:jc w:val="center"/>
        <w:rPr>
          <w:b/>
          <w:color w:val="000000"/>
          <w:sz w:val="28"/>
          <w:szCs w:val="28"/>
        </w:rPr>
      </w:pPr>
      <w:r>
        <w:rPr>
          <w:b/>
          <w:color w:val="000000"/>
          <w:sz w:val="28"/>
          <w:szCs w:val="28"/>
        </w:rPr>
        <w:t>Table of Contents</w:t>
      </w:r>
    </w:p>
    <w:p w:rsidR="0072721E" w:rsidRDefault="0072721E">
      <w:pPr>
        <w:rPr>
          <w:b/>
        </w:rPr>
      </w:pPr>
    </w:p>
    <w:sdt>
      <w:sdtPr>
        <w:id w:val="-1269309238"/>
        <w:docPartObj>
          <w:docPartGallery w:val="Table of Contents"/>
          <w:docPartUnique/>
        </w:docPartObj>
      </w:sdtPr>
      <w:sdtContent>
        <w:p w:rsidR="0072721E" w:rsidRDefault="007F04EE">
          <w:pPr>
            <w:tabs>
              <w:tab w:val="right" w:pos="10204"/>
            </w:tabs>
            <w:spacing w:before="80"/>
            <w:ind w:left="0"/>
            <w:rPr>
              <w:b/>
              <w:color w:val="000000"/>
            </w:rPr>
          </w:pPr>
          <w:r>
            <w:fldChar w:fldCharType="begin"/>
          </w:r>
          <w:r>
            <w:instrText xml:space="preserve"> TOC \h \u \z </w:instrText>
          </w:r>
          <w:r>
            <w:fldChar w:fldCharType="separate"/>
          </w:r>
          <w:hyperlink w:anchor="_ahpyfc3rbmbs">
            <w:r>
              <w:rPr>
                <w:b/>
                <w:color w:val="000000"/>
              </w:rPr>
              <w:t>AGENDA ITEM 1 OPENING OF THE MEETING</w:t>
            </w:r>
          </w:hyperlink>
          <w:r>
            <w:rPr>
              <w:b/>
              <w:color w:val="000000"/>
            </w:rPr>
            <w:tab/>
          </w:r>
          <w:r>
            <w:fldChar w:fldCharType="begin"/>
          </w:r>
          <w:r>
            <w:instrText xml:space="preserve"> PAGEREF _ahpyfc3rbmbs \h </w:instrText>
          </w:r>
          <w:r>
            <w:fldChar w:fldCharType="separate"/>
          </w:r>
          <w:r>
            <w:rPr>
              <w:noProof/>
            </w:rPr>
            <w:t>5</w:t>
          </w:r>
          <w:r>
            <w:fldChar w:fldCharType="end"/>
          </w:r>
        </w:p>
        <w:p w:rsidR="0072721E" w:rsidRDefault="007F04EE">
          <w:pPr>
            <w:tabs>
              <w:tab w:val="right" w:pos="10204"/>
            </w:tabs>
            <w:spacing w:before="60"/>
            <w:ind w:left="360"/>
            <w:rPr>
              <w:color w:val="000000"/>
            </w:rPr>
          </w:pPr>
          <w:hyperlink w:anchor="_1fob9te">
            <w:r>
              <w:rPr>
                <w:color w:val="000000"/>
              </w:rPr>
              <w:t>1.1  Adoption of agenda</w:t>
            </w:r>
          </w:hyperlink>
          <w:r>
            <w:rPr>
              <w:color w:val="000000"/>
            </w:rPr>
            <w:tab/>
          </w:r>
          <w:r>
            <w:fldChar w:fldCharType="begin"/>
          </w:r>
          <w:r>
            <w:instrText xml:space="preserve"> PAGEREF _1fob9te \h </w:instrText>
          </w:r>
          <w:r>
            <w:fldChar w:fldCharType="separate"/>
          </w:r>
          <w:r>
            <w:rPr>
              <w:noProof/>
            </w:rPr>
            <w:t>5</w:t>
          </w:r>
          <w:r>
            <w:fldChar w:fldCharType="end"/>
          </w:r>
        </w:p>
        <w:p w:rsidR="0072721E" w:rsidRDefault="007F04EE">
          <w:pPr>
            <w:tabs>
              <w:tab w:val="right" w:pos="10204"/>
            </w:tabs>
            <w:spacing w:before="60"/>
            <w:ind w:left="360"/>
            <w:rPr>
              <w:color w:val="000000"/>
            </w:rPr>
          </w:pPr>
          <w:hyperlink w:anchor="_3znysh7">
            <w:r>
              <w:rPr>
                <w:color w:val="000000"/>
              </w:rPr>
              <w:t>1.2  Statements from Members and Participating Territories</w:t>
            </w:r>
          </w:hyperlink>
          <w:r>
            <w:rPr>
              <w:color w:val="000000"/>
            </w:rPr>
            <w:tab/>
          </w:r>
          <w:r>
            <w:fldChar w:fldCharType="begin"/>
          </w:r>
          <w:r>
            <w:instrText xml:space="preserve"> PAGEREF _3znysh7 \h </w:instrText>
          </w:r>
          <w:r>
            <w:fldChar w:fldCharType="separate"/>
          </w:r>
          <w:r>
            <w:rPr>
              <w:noProof/>
            </w:rPr>
            <w:t>5</w:t>
          </w:r>
          <w:r>
            <w:fldChar w:fldCharType="end"/>
          </w:r>
        </w:p>
        <w:p w:rsidR="0072721E" w:rsidRDefault="007F04EE">
          <w:pPr>
            <w:tabs>
              <w:tab w:val="right" w:pos="10204"/>
            </w:tabs>
            <w:spacing w:before="60"/>
            <w:ind w:left="360"/>
            <w:rPr>
              <w:color w:val="000000"/>
            </w:rPr>
          </w:pPr>
          <w:hyperlink w:anchor="_2et92p0">
            <w:r>
              <w:rPr>
                <w:color w:val="000000"/>
              </w:rPr>
              <w:t>1.3  Meeting arrangements</w:t>
            </w:r>
          </w:hyperlink>
          <w:r>
            <w:rPr>
              <w:color w:val="000000"/>
            </w:rPr>
            <w:tab/>
          </w:r>
          <w:r>
            <w:fldChar w:fldCharType="begin"/>
          </w:r>
          <w:r>
            <w:instrText xml:space="preserve"> PAGEREF _2et92p0 \h </w:instrText>
          </w:r>
          <w:r>
            <w:fldChar w:fldCharType="separate"/>
          </w:r>
          <w:r>
            <w:rPr>
              <w:noProof/>
            </w:rPr>
            <w:t>5</w:t>
          </w:r>
          <w:r>
            <w:fldChar w:fldCharType="end"/>
          </w:r>
        </w:p>
        <w:p w:rsidR="0072721E" w:rsidRDefault="007F04EE">
          <w:pPr>
            <w:tabs>
              <w:tab w:val="right" w:pos="10204"/>
            </w:tabs>
            <w:spacing w:before="60"/>
            <w:ind w:left="720"/>
            <w:rPr>
              <w:color w:val="000000"/>
            </w:rPr>
          </w:pPr>
          <w:hyperlink w:anchor="_tyjcwt">
            <w:r>
              <w:rPr>
                <w:color w:val="000000"/>
              </w:rPr>
              <w:t>1.3.1 Online meeting protocols</w:t>
            </w:r>
          </w:hyperlink>
          <w:r>
            <w:rPr>
              <w:color w:val="000000"/>
            </w:rPr>
            <w:tab/>
          </w:r>
          <w:r>
            <w:fldChar w:fldCharType="begin"/>
          </w:r>
          <w:r>
            <w:instrText xml:space="preserve"> PAGEREF _tyjcwt \h </w:instrText>
          </w:r>
          <w:r>
            <w:fldChar w:fldCharType="separate"/>
          </w:r>
          <w:r>
            <w:rPr>
              <w:noProof/>
            </w:rPr>
            <w:t>5</w:t>
          </w:r>
          <w:r>
            <w:fldChar w:fldCharType="end"/>
          </w:r>
        </w:p>
        <w:p w:rsidR="0072721E" w:rsidRDefault="007F04EE">
          <w:pPr>
            <w:tabs>
              <w:tab w:val="right" w:pos="10204"/>
            </w:tabs>
            <w:spacing w:before="60"/>
            <w:ind w:left="720"/>
            <w:rPr>
              <w:color w:val="000000"/>
            </w:rPr>
          </w:pPr>
          <w:hyperlink w:anchor="_d5wiafnztwsl">
            <w:r>
              <w:rPr>
                <w:color w:val="000000"/>
              </w:rPr>
              <w:t>1.3.1  Establishment of small working groups (CNMs, CMS, Others)</w:t>
            </w:r>
          </w:hyperlink>
          <w:r>
            <w:rPr>
              <w:color w:val="000000"/>
            </w:rPr>
            <w:tab/>
          </w:r>
          <w:r>
            <w:fldChar w:fldCharType="begin"/>
          </w:r>
          <w:r>
            <w:instrText xml:space="preserve"> PAGEREF _d5wiafnztwsl \h </w:instrText>
          </w:r>
          <w:r>
            <w:fldChar w:fldCharType="separate"/>
          </w:r>
          <w:r>
            <w:rPr>
              <w:noProof/>
            </w:rPr>
            <w:t>5</w:t>
          </w:r>
          <w:r>
            <w:fldChar w:fldCharType="end"/>
          </w:r>
        </w:p>
        <w:p w:rsidR="0072721E" w:rsidRDefault="007F04EE">
          <w:pPr>
            <w:tabs>
              <w:tab w:val="right" w:pos="10204"/>
            </w:tabs>
            <w:spacing w:before="200"/>
            <w:ind w:left="0"/>
            <w:rPr>
              <w:b/>
              <w:color w:val="000000"/>
            </w:rPr>
          </w:pPr>
          <w:hyperlink w:anchor="_3dy6vkm">
            <w:r>
              <w:rPr>
                <w:b/>
                <w:color w:val="000000"/>
              </w:rPr>
              <w:t>AGENDA ITEM 2 ANNUAL REPORT OF THE EXECUTIVE DIRECTOR</w:t>
            </w:r>
          </w:hyperlink>
          <w:r>
            <w:rPr>
              <w:b/>
              <w:color w:val="000000"/>
            </w:rPr>
            <w:tab/>
          </w:r>
          <w:r>
            <w:fldChar w:fldCharType="begin"/>
          </w:r>
          <w:r>
            <w:instrText xml:space="preserve"> PAGEREF _3dy6vkm \h </w:instrText>
          </w:r>
          <w:r>
            <w:fldChar w:fldCharType="separate"/>
          </w:r>
          <w:r>
            <w:rPr>
              <w:noProof/>
            </w:rPr>
            <w:t>90</w:t>
          </w:r>
          <w:r>
            <w:fldChar w:fldCharType="end"/>
          </w:r>
        </w:p>
        <w:p w:rsidR="0072721E" w:rsidRDefault="007F04EE">
          <w:pPr>
            <w:tabs>
              <w:tab w:val="right" w:pos="10204"/>
            </w:tabs>
            <w:spacing w:before="200"/>
            <w:ind w:left="0"/>
            <w:rPr>
              <w:b/>
              <w:color w:val="000000"/>
            </w:rPr>
          </w:pPr>
          <w:hyperlink w:anchor="_4d34og8">
            <w:r>
              <w:rPr>
                <w:b/>
                <w:color w:val="000000"/>
              </w:rPr>
              <w:t>AGENDA ITEM 3 MEMBERSHIP AND OTHER APPLICATIONS</w:t>
            </w:r>
          </w:hyperlink>
          <w:r>
            <w:rPr>
              <w:b/>
              <w:color w:val="000000"/>
            </w:rPr>
            <w:tab/>
          </w:r>
          <w:r>
            <w:fldChar w:fldCharType="begin"/>
          </w:r>
          <w:r>
            <w:instrText xml:space="preserve"> PAGEREF _4d34og8 \h </w:instrText>
          </w:r>
          <w:r>
            <w:fldChar w:fldCharType="separate"/>
          </w:r>
          <w:r>
            <w:rPr>
              <w:noProof/>
            </w:rPr>
            <w:t>5</w:t>
          </w:r>
          <w:r>
            <w:fldChar w:fldCharType="end"/>
          </w:r>
        </w:p>
        <w:p w:rsidR="0072721E" w:rsidRDefault="007F04EE">
          <w:pPr>
            <w:tabs>
              <w:tab w:val="right" w:pos="10204"/>
            </w:tabs>
            <w:spacing w:before="60"/>
            <w:ind w:left="360"/>
            <w:rPr>
              <w:color w:val="000000"/>
            </w:rPr>
          </w:pPr>
          <w:hyperlink w:anchor="_uy3fl1h0vp3j">
            <w:r>
              <w:rPr>
                <w:color w:val="000000"/>
              </w:rPr>
              <w:t>3.1 Status of Convention</w:t>
            </w:r>
          </w:hyperlink>
          <w:r>
            <w:rPr>
              <w:color w:val="000000"/>
            </w:rPr>
            <w:tab/>
          </w:r>
          <w:r>
            <w:fldChar w:fldCharType="begin"/>
          </w:r>
          <w:r>
            <w:instrText xml:space="preserve"> PAGEREF _uy3fl1h0vp3j \h </w:instrText>
          </w:r>
          <w:r>
            <w:fldChar w:fldCharType="separate"/>
          </w:r>
          <w:r>
            <w:rPr>
              <w:noProof/>
            </w:rPr>
            <w:t>5</w:t>
          </w:r>
          <w:r>
            <w:fldChar w:fldCharType="end"/>
          </w:r>
        </w:p>
        <w:p w:rsidR="0072721E" w:rsidRDefault="007F04EE">
          <w:pPr>
            <w:tabs>
              <w:tab w:val="right" w:pos="10204"/>
            </w:tabs>
            <w:spacing w:before="60"/>
            <w:ind w:left="360"/>
            <w:rPr>
              <w:color w:val="000000"/>
            </w:rPr>
          </w:pPr>
          <w:hyperlink w:anchor="_hxa70i1rwte5">
            <w:r>
              <w:rPr>
                <w:color w:val="000000"/>
              </w:rPr>
              <w:t>3.2 Update on Observer status</w:t>
            </w:r>
          </w:hyperlink>
          <w:r>
            <w:rPr>
              <w:color w:val="000000"/>
            </w:rPr>
            <w:tab/>
          </w:r>
          <w:r>
            <w:fldChar w:fldCharType="begin"/>
          </w:r>
          <w:r>
            <w:instrText xml:space="preserve"> PAGEREF _hxa70i1rwte5 \h </w:instrText>
          </w:r>
          <w:r>
            <w:fldChar w:fldCharType="separate"/>
          </w:r>
          <w:r>
            <w:rPr>
              <w:noProof/>
            </w:rPr>
            <w:t>6</w:t>
          </w:r>
          <w:r>
            <w:fldChar w:fldCharType="end"/>
          </w:r>
        </w:p>
        <w:p w:rsidR="0072721E" w:rsidRDefault="007F04EE">
          <w:pPr>
            <w:tabs>
              <w:tab w:val="right" w:pos="10204"/>
            </w:tabs>
            <w:spacing w:before="60"/>
            <w:ind w:left="360"/>
            <w:rPr>
              <w:color w:val="000000"/>
            </w:rPr>
          </w:pPr>
          <w:hyperlink w:anchor="_fxjz3llq3ota">
            <w:r>
              <w:rPr>
                <w:color w:val="000000"/>
              </w:rPr>
              <w:t>3.3 Applications for Cooperating Non-Member (CNM) status</w:t>
            </w:r>
          </w:hyperlink>
          <w:r>
            <w:rPr>
              <w:color w:val="000000"/>
            </w:rPr>
            <w:tab/>
          </w:r>
          <w:r>
            <w:fldChar w:fldCharType="begin"/>
          </w:r>
          <w:r>
            <w:instrText xml:space="preserve"> PAGEREF _fxjz3llq3ota \h </w:instrText>
          </w:r>
          <w:r>
            <w:fldChar w:fldCharType="separate"/>
          </w:r>
          <w:r>
            <w:rPr>
              <w:noProof/>
            </w:rPr>
            <w:t>7</w:t>
          </w:r>
          <w:r>
            <w:fldChar w:fldCharType="end"/>
          </w:r>
        </w:p>
        <w:p w:rsidR="0072721E" w:rsidRDefault="007F04EE">
          <w:pPr>
            <w:tabs>
              <w:tab w:val="right" w:pos="10204"/>
            </w:tabs>
            <w:spacing w:before="60"/>
            <w:ind w:left="360"/>
            <w:rPr>
              <w:color w:val="000000"/>
            </w:rPr>
          </w:pPr>
          <w:hyperlink w:anchor="_graon9uzda8h">
            <w:r>
              <w:rPr>
                <w:color w:val="000000"/>
              </w:rPr>
              <w:t>3.3.1 Participatory rights of CNMs</w:t>
            </w:r>
          </w:hyperlink>
          <w:r>
            <w:rPr>
              <w:color w:val="000000"/>
            </w:rPr>
            <w:tab/>
          </w:r>
          <w:r>
            <w:fldChar w:fldCharType="begin"/>
          </w:r>
          <w:r>
            <w:instrText xml:space="preserve"> PAGEREF _graon9uzda8h \h </w:instrText>
          </w:r>
          <w:r>
            <w:fldChar w:fldCharType="separate"/>
          </w:r>
          <w:r>
            <w:rPr>
              <w:noProof/>
            </w:rPr>
            <w:t>8</w:t>
          </w:r>
          <w:r>
            <w:fldChar w:fldCharType="end"/>
          </w:r>
        </w:p>
        <w:p w:rsidR="0072721E" w:rsidRDefault="007F04EE">
          <w:pPr>
            <w:tabs>
              <w:tab w:val="right" w:pos="10204"/>
            </w:tabs>
            <w:spacing w:before="200"/>
            <w:ind w:left="0"/>
            <w:rPr>
              <w:b/>
              <w:color w:val="000000"/>
            </w:rPr>
          </w:pPr>
          <w:hyperlink w:anchor="_ulso0q2rc0kt">
            <w:r>
              <w:rPr>
                <w:b/>
                <w:color w:val="000000"/>
              </w:rPr>
              <w:t>AGENDA ITEM 4 NEW PROPOSALS</w:t>
            </w:r>
          </w:hyperlink>
          <w:r>
            <w:rPr>
              <w:b/>
              <w:color w:val="000000"/>
            </w:rPr>
            <w:tab/>
          </w:r>
          <w:r>
            <w:fldChar w:fldCharType="begin"/>
          </w:r>
          <w:r>
            <w:instrText xml:space="preserve"> PAGEREF _ulso0q2rc0kt \h </w:instrText>
          </w:r>
          <w:r>
            <w:fldChar w:fldCharType="separate"/>
          </w:r>
          <w:r>
            <w:rPr>
              <w:noProof/>
            </w:rPr>
            <w:t>10</w:t>
          </w:r>
          <w:r>
            <w:fldChar w:fldCharType="end"/>
          </w:r>
        </w:p>
        <w:p w:rsidR="0072721E" w:rsidRDefault="007F04EE">
          <w:pPr>
            <w:tabs>
              <w:tab w:val="right" w:pos="10204"/>
            </w:tabs>
            <w:spacing w:before="60"/>
            <w:ind w:left="360"/>
            <w:rPr>
              <w:color w:val="000000"/>
            </w:rPr>
          </w:pPr>
          <w:hyperlink w:anchor="_ucbiiqp8db3j">
            <w:r>
              <w:rPr>
                <w:color w:val="000000"/>
              </w:rPr>
              <w:t>WCPFC18-2021-DP01 Proposal by the US on the Conservation and Management Measures for Sharks (CMM2019-04)</w:t>
            </w:r>
          </w:hyperlink>
          <w:r>
            <w:rPr>
              <w:color w:val="000000"/>
            </w:rPr>
            <w:tab/>
          </w:r>
          <w:r>
            <w:fldChar w:fldCharType="begin"/>
          </w:r>
          <w:r>
            <w:instrText xml:space="preserve"> PAGEREF _ucbiiqp8db3j \h </w:instrText>
          </w:r>
          <w:r>
            <w:fldChar w:fldCharType="separate"/>
          </w:r>
          <w:r>
            <w:rPr>
              <w:noProof/>
            </w:rPr>
            <w:t>10</w:t>
          </w:r>
          <w:r>
            <w:fldChar w:fldCharType="end"/>
          </w:r>
        </w:p>
        <w:p w:rsidR="0072721E" w:rsidRDefault="007F04EE">
          <w:pPr>
            <w:tabs>
              <w:tab w:val="right" w:pos="10204"/>
            </w:tabs>
            <w:spacing w:before="60"/>
            <w:ind w:left="360"/>
            <w:rPr>
              <w:color w:val="000000"/>
            </w:rPr>
          </w:pPr>
          <w:hyperlink w:anchor="_a70cwlshouhj">
            <w:r>
              <w:rPr>
                <w:color w:val="000000"/>
              </w:rPr>
              <w:t>WCPFC18-2021-DP02 Proposed amendment to the current CMM 2019-08 for Charter Notification Scheme</w:t>
            </w:r>
          </w:hyperlink>
          <w:r>
            <w:rPr>
              <w:color w:val="000000"/>
            </w:rPr>
            <w:tab/>
          </w:r>
          <w:r>
            <w:fldChar w:fldCharType="begin"/>
          </w:r>
          <w:r>
            <w:instrText xml:space="preserve"> PAGEREF _a70cwlshouhj \h </w:instrText>
          </w:r>
          <w:r>
            <w:fldChar w:fldCharType="separate"/>
          </w:r>
          <w:r>
            <w:rPr>
              <w:noProof/>
            </w:rPr>
            <w:t>12</w:t>
          </w:r>
          <w:r>
            <w:fldChar w:fldCharType="end"/>
          </w:r>
        </w:p>
        <w:p w:rsidR="0072721E" w:rsidRDefault="007F04EE">
          <w:pPr>
            <w:tabs>
              <w:tab w:val="right" w:pos="10204"/>
            </w:tabs>
            <w:spacing w:before="60"/>
            <w:ind w:left="360"/>
            <w:rPr>
              <w:color w:val="000000"/>
            </w:rPr>
          </w:pPr>
          <w:hyperlink w:anchor="_s0z4bylkksj3">
            <w:r>
              <w:rPr>
                <w:color w:val="000000"/>
              </w:rPr>
              <w:t>WCPFC18-2021-DP03 Proposal for amending CMM 2019-07 (WCPFC IUU VESSEL LIST)</w:t>
            </w:r>
          </w:hyperlink>
          <w:r>
            <w:rPr>
              <w:color w:val="000000"/>
            </w:rPr>
            <w:tab/>
          </w:r>
          <w:r>
            <w:fldChar w:fldCharType="begin"/>
          </w:r>
          <w:r>
            <w:instrText xml:space="preserve"> PAGEREF _s0z4bylkksj3 \h </w:instrText>
          </w:r>
          <w:r>
            <w:fldChar w:fldCharType="separate"/>
          </w:r>
          <w:r>
            <w:rPr>
              <w:noProof/>
            </w:rPr>
            <w:t>12</w:t>
          </w:r>
          <w:r>
            <w:fldChar w:fldCharType="end"/>
          </w:r>
        </w:p>
        <w:p w:rsidR="0072721E" w:rsidRDefault="007F04EE">
          <w:pPr>
            <w:tabs>
              <w:tab w:val="right" w:pos="10204"/>
            </w:tabs>
            <w:spacing w:before="200"/>
            <w:ind w:left="0"/>
            <w:rPr>
              <w:b/>
              <w:color w:val="000000"/>
            </w:rPr>
          </w:pPr>
          <w:hyperlink w:anchor="_m205zwopan2a">
            <w:r>
              <w:rPr>
                <w:b/>
                <w:color w:val="000000"/>
              </w:rPr>
              <w:t>AGENDA ITEM 5 INTERSESSIONAL DECISIONS IN RESPONSE TO COVID-19</w:t>
            </w:r>
          </w:hyperlink>
          <w:r>
            <w:rPr>
              <w:b/>
              <w:color w:val="000000"/>
            </w:rPr>
            <w:tab/>
          </w:r>
          <w:r>
            <w:fldChar w:fldCharType="begin"/>
          </w:r>
          <w:r>
            <w:instrText xml:space="preserve"> PAGEREF _m205zwopan2a \h </w:instrText>
          </w:r>
          <w:r>
            <w:fldChar w:fldCharType="separate"/>
          </w:r>
          <w:r>
            <w:rPr>
              <w:noProof/>
            </w:rPr>
            <w:t>14</w:t>
          </w:r>
          <w:r>
            <w:fldChar w:fldCharType="end"/>
          </w:r>
        </w:p>
        <w:p w:rsidR="0072721E" w:rsidRDefault="007F04EE">
          <w:pPr>
            <w:tabs>
              <w:tab w:val="right" w:pos="10204"/>
            </w:tabs>
            <w:spacing w:before="60"/>
            <w:ind w:left="360"/>
            <w:rPr>
              <w:color w:val="000000"/>
            </w:rPr>
          </w:pPr>
          <w:hyperlink w:anchor="_fbz9lcxs5q8z">
            <w:r>
              <w:rPr>
                <w:color w:val="000000"/>
              </w:rPr>
              <w:t>5 - Intersessional Decision in Response to COVID-19</w:t>
            </w:r>
          </w:hyperlink>
          <w:r>
            <w:rPr>
              <w:color w:val="000000"/>
            </w:rPr>
            <w:tab/>
          </w:r>
          <w:r>
            <w:fldChar w:fldCharType="begin"/>
          </w:r>
          <w:r>
            <w:instrText xml:space="preserve"> PAGEREF _fbz9lcxs5q8z \h </w:instrText>
          </w:r>
          <w:r>
            <w:fldChar w:fldCharType="separate"/>
          </w:r>
          <w:r>
            <w:rPr>
              <w:noProof/>
            </w:rPr>
            <w:t>15</w:t>
          </w:r>
          <w:r>
            <w:fldChar w:fldCharType="end"/>
          </w:r>
        </w:p>
        <w:p w:rsidR="0072721E" w:rsidRDefault="007F04EE">
          <w:pPr>
            <w:tabs>
              <w:tab w:val="right" w:pos="10204"/>
            </w:tabs>
            <w:spacing w:before="200"/>
            <w:ind w:left="0"/>
            <w:rPr>
              <w:b/>
              <w:color w:val="000000"/>
            </w:rPr>
          </w:pPr>
          <w:hyperlink w:anchor="_j1z128jd3wg4">
            <w:r>
              <w:rPr>
                <w:b/>
                <w:color w:val="000000"/>
              </w:rPr>
              <w:t>AGENDA ITEM 6 SPECIAL REQUIREMENTS OF DEVELOPING STATES</w:t>
            </w:r>
          </w:hyperlink>
          <w:r>
            <w:rPr>
              <w:b/>
              <w:color w:val="000000"/>
            </w:rPr>
            <w:tab/>
          </w:r>
          <w:r>
            <w:fldChar w:fldCharType="begin"/>
          </w:r>
          <w:r>
            <w:instrText xml:space="preserve"> PAGEREF _j1z128jd3wg4 \h </w:instrText>
          </w:r>
          <w:r>
            <w:fldChar w:fldCharType="separate"/>
          </w:r>
          <w:r>
            <w:rPr>
              <w:noProof/>
            </w:rPr>
            <w:t>17</w:t>
          </w:r>
          <w:r>
            <w:fldChar w:fldCharType="end"/>
          </w:r>
        </w:p>
        <w:p w:rsidR="0072721E" w:rsidRDefault="007F04EE">
          <w:pPr>
            <w:tabs>
              <w:tab w:val="right" w:pos="10204"/>
            </w:tabs>
            <w:spacing w:before="60"/>
            <w:ind w:left="360"/>
            <w:rPr>
              <w:color w:val="000000"/>
            </w:rPr>
          </w:pPr>
          <w:hyperlink w:anchor="_1ksv4uv">
            <w:r>
              <w:rPr>
                <w:color w:val="000000"/>
              </w:rPr>
              <w:t>6.1 Implementation of Article 30 of WCPFC Convention and CMM 2013-07 (SIDS special requirements)</w:t>
            </w:r>
          </w:hyperlink>
          <w:r>
            <w:rPr>
              <w:color w:val="000000"/>
            </w:rPr>
            <w:tab/>
          </w:r>
          <w:r>
            <w:fldChar w:fldCharType="begin"/>
          </w:r>
          <w:r>
            <w:instrText xml:space="preserve"> PAGEREF _1ksv4uv \h </w:instrText>
          </w:r>
          <w:r>
            <w:fldChar w:fldCharType="separate"/>
          </w:r>
          <w:r>
            <w:rPr>
              <w:noProof/>
            </w:rPr>
            <w:t>17</w:t>
          </w:r>
          <w:r>
            <w:fldChar w:fldCharType="end"/>
          </w:r>
        </w:p>
        <w:p w:rsidR="0072721E" w:rsidRDefault="007F04EE">
          <w:pPr>
            <w:tabs>
              <w:tab w:val="right" w:pos="10204"/>
            </w:tabs>
            <w:spacing w:before="200"/>
            <w:ind w:left="0"/>
            <w:rPr>
              <w:b/>
              <w:color w:val="000000"/>
            </w:rPr>
          </w:pPr>
          <w:hyperlink w:anchor="_uekjh7k507ge">
            <w:r>
              <w:rPr>
                <w:b/>
                <w:color w:val="000000"/>
              </w:rPr>
              <w:t>AGENDA ITEM 7 WCPO TUNA AND BILLFISH STOCK</w:t>
            </w:r>
          </w:hyperlink>
          <w:r>
            <w:rPr>
              <w:b/>
              <w:color w:val="000000"/>
            </w:rPr>
            <w:tab/>
          </w:r>
          <w:r>
            <w:fldChar w:fldCharType="begin"/>
          </w:r>
          <w:r>
            <w:instrText xml:space="preserve"> PAGEREF _uekjh7k507ge \h </w:instrText>
          </w:r>
          <w:r>
            <w:fldChar w:fldCharType="separate"/>
          </w:r>
          <w:r>
            <w:rPr>
              <w:noProof/>
            </w:rPr>
            <w:t>17</w:t>
          </w:r>
          <w:r>
            <w:fldChar w:fldCharType="end"/>
          </w:r>
        </w:p>
        <w:p w:rsidR="0072721E" w:rsidRDefault="007F04EE">
          <w:pPr>
            <w:tabs>
              <w:tab w:val="right" w:pos="10204"/>
            </w:tabs>
            <w:spacing w:before="60"/>
            <w:ind w:left="360"/>
            <w:rPr>
              <w:color w:val="000000"/>
            </w:rPr>
          </w:pPr>
          <w:hyperlink w:anchor="_rlamz5d82snt">
            <w:r>
              <w:rPr>
                <w:color w:val="000000"/>
              </w:rPr>
              <w:t>7.2.1.1 Review target reference point for skipjack</w:t>
            </w:r>
          </w:hyperlink>
          <w:r>
            <w:rPr>
              <w:color w:val="000000"/>
            </w:rPr>
            <w:tab/>
          </w:r>
          <w:r>
            <w:fldChar w:fldCharType="begin"/>
          </w:r>
          <w:r>
            <w:instrText xml:space="preserve"> PAGEREF _rlamz5d82snt \h </w:instrText>
          </w:r>
          <w:r>
            <w:fldChar w:fldCharType="separate"/>
          </w:r>
          <w:r>
            <w:rPr>
              <w:noProof/>
            </w:rPr>
            <w:t>17</w:t>
          </w:r>
          <w:r>
            <w:fldChar w:fldCharType="end"/>
          </w:r>
        </w:p>
        <w:p w:rsidR="0072721E" w:rsidRDefault="007F04EE">
          <w:pPr>
            <w:tabs>
              <w:tab w:val="right" w:pos="10204"/>
            </w:tabs>
            <w:spacing w:before="60"/>
            <w:ind w:left="360"/>
            <w:rPr>
              <w:color w:val="000000"/>
            </w:rPr>
          </w:pPr>
          <w:hyperlink w:anchor="_s7riyg70lifz">
            <w:r>
              <w:rPr>
                <w:color w:val="000000"/>
              </w:rPr>
              <w:t>7.2.1.2 Review target reference point (TRP) for bigeye and yellowfin</w:t>
            </w:r>
          </w:hyperlink>
          <w:r>
            <w:rPr>
              <w:color w:val="000000"/>
            </w:rPr>
            <w:tab/>
          </w:r>
          <w:r>
            <w:fldChar w:fldCharType="begin"/>
          </w:r>
          <w:r>
            <w:instrText xml:space="preserve"> PAGEREF _s7riyg70lifz \h </w:instrText>
          </w:r>
          <w:r>
            <w:fldChar w:fldCharType="separate"/>
          </w:r>
          <w:r>
            <w:rPr>
              <w:noProof/>
            </w:rPr>
            <w:t>19</w:t>
          </w:r>
          <w:r>
            <w:fldChar w:fldCharType="end"/>
          </w:r>
        </w:p>
        <w:p w:rsidR="0072721E" w:rsidRDefault="007F04EE">
          <w:pPr>
            <w:tabs>
              <w:tab w:val="right" w:pos="10204"/>
            </w:tabs>
            <w:spacing w:before="60"/>
            <w:ind w:left="360"/>
            <w:rPr>
              <w:color w:val="000000"/>
            </w:rPr>
          </w:pPr>
          <w:hyperlink w:anchor="_vptloajh1obj">
            <w:r>
              <w:rPr>
                <w:color w:val="000000"/>
              </w:rPr>
              <w:t>7.2.1.3 Management procedures for skipjack tuna</w:t>
            </w:r>
          </w:hyperlink>
          <w:r>
            <w:rPr>
              <w:color w:val="000000"/>
            </w:rPr>
            <w:tab/>
          </w:r>
          <w:r>
            <w:fldChar w:fldCharType="begin"/>
          </w:r>
          <w:r>
            <w:instrText xml:space="preserve"> PAGEREF _vptloajh1obj \h </w:instrText>
          </w:r>
          <w:r>
            <w:fldChar w:fldCharType="separate"/>
          </w:r>
          <w:r>
            <w:rPr>
              <w:noProof/>
            </w:rPr>
            <w:t>22</w:t>
          </w:r>
          <w:r>
            <w:fldChar w:fldCharType="end"/>
          </w:r>
        </w:p>
        <w:p w:rsidR="0072721E" w:rsidRDefault="007F04EE">
          <w:pPr>
            <w:tabs>
              <w:tab w:val="right" w:pos="10204"/>
            </w:tabs>
            <w:spacing w:before="60"/>
            <w:ind w:left="360"/>
            <w:rPr>
              <w:color w:val="000000"/>
            </w:rPr>
          </w:pPr>
          <w:hyperlink w:anchor="_59nm77sr4s1n">
            <w:r>
              <w:rPr>
                <w:color w:val="000000"/>
              </w:rPr>
              <w:t>7.2.2.1 SSP Analysis of Requests by TTMW2</w:t>
            </w:r>
          </w:hyperlink>
          <w:r>
            <w:rPr>
              <w:color w:val="000000"/>
            </w:rPr>
            <w:tab/>
          </w:r>
          <w:r>
            <w:fldChar w:fldCharType="begin"/>
          </w:r>
          <w:r>
            <w:instrText xml:space="preserve"> PAGEREF _59nm77sr4s1n \h </w:instrText>
          </w:r>
          <w:r>
            <w:fldChar w:fldCharType="separate"/>
          </w:r>
          <w:r>
            <w:rPr>
              <w:noProof/>
            </w:rPr>
            <w:t>25</w:t>
          </w:r>
          <w:r>
            <w:fldChar w:fldCharType="end"/>
          </w:r>
        </w:p>
        <w:p w:rsidR="0072721E" w:rsidRDefault="007F04EE">
          <w:pPr>
            <w:tabs>
              <w:tab w:val="right" w:pos="10204"/>
            </w:tabs>
            <w:spacing w:before="60"/>
            <w:ind w:left="360"/>
            <w:rPr>
              <w:color w:val="000000"/>
            </w:rPr>
          </w:pPr>
          <w:hyperlink w:anchor="_zjuvyua6pvh">
            <w:r>
              <w:rPr>
                <w:color w:val="000000"/>
              </w:rPr>
              <w:t>7.2.2.2 Report of the FAD-MO IWG</w:t>
            </w:r>
          </w:hyperlink>
          <w:r>
            <w:rPr>
              <w:color w:val="000000"/>
            </w:rPr>
            <w:tab/>
          </w:r>
          <w:r>
            <w:fldChar w:fldCharType="begin"/>
          </w:r>
          <w:r>
            <w:instrText xml:space="preserve"> PAGEREF _zjuvyua6pvh \h </w:instrText>
          </w:r>
          <w:r>
            <w:fldChar w:fldCharType="separate"/>
          </w:r>
          <w:r>
            <w:rPr>
              <w:noProof/>
            </w:rPr>
            <w:t>26</w:t>
          </w:r>
          <w:r>
            <w:fldChar w:fldCharType="end"/>
          </w:r>
        </w:p>
        <w:p w:rsidR="0072721E" w:rsidRDefault="007F04EE">
          <w:pPr>
            <w:tabs>
              <w:tab w:val="right" w:pos="10204"/>
            </w:tabs>
            <w:spacing w:before="60"/>
            <w:ind w:left="360"/>
            <w:rPr>
              <w:color w:val="000000"/>
            </w:rPr>
          </w:pPr>
          <w:hyperlink w:anchor="_cqghv3b1xpip">
            <w:r>
              <w:rPr>
                <w:color w:val="000000"/>
              </w:rPr>
              <w:t>7.2.3  Other Commercial fisheries for bigeye, skipjack and yellowfin</w:t>
            </w:r>
          </w:hyperlink>
          <w:r>
            <w:rPr>
              <w:color w:val="000000"/>
            </w:rPr>
            <w:tab/>
          </w:r>
          <w:r>
            <w:fldChar w:fldCharType="begin"/>
          </w:r>
          <w:r>
            <w:instrText xml:space="preserve"> PAGEREF _cqghv3b1xpip \h </w:instrText>
          </w:r>
          <w:r>
            <w:fldChar w:fldCharType="separate"/>
          </w:r>
          <w:r>
            <w:rPr>
              <w:noProof/>
            </w:rPr>
            <w:t>30</w:t>
          </w:r>
          <w:r>
            <w:fldChar w:fldCharType="end"/>
          </w:r>
        </w:p>
        <w:p w:rsidR="0072721E" w:rsidRDefault="007F04EE">
          <w:pPr>
            <w:tabs>
              <w:tab w:val="right" w:pos="10204"/>
            </w:tabs>
            <w:spacing w:before="60"/>
            <w:ind w:left="360"/>
            <w:rPr>
              <w:color w:val="000000"/>
            </w:rPr>
          </w:pPr>
          <w:hyperlink w:anchor="_nbpp8xohm29">
            <w:r>
              <w:rPr>
                <w:color w:val="000000"/>
              </w:rPr>
              <w:t>7.3.1 Review of the interim target reference point (South Pacific albacore)</w:t>
            </w:r>
          </w:hyperlink>
          <w:r>
            <w:rPr>
              <w:color w:val="000000"/>
            </w:rPr>
            <w:tab/>
          </w:r>
          <w:r>
            <w:fldChar w:fldCharType="begin"/>
          </w:r>
          <w:r>
            <w:instrText xml:space="preserve"> PAGEREF _nbpp8xohm29 \h </w:instrText>
          </w:r>
          <w:r>
            <w:fldChar w:fldCharType="separate"/>
          </w:r>
          <w:r>
            <w:rPr>
              <w:noProof/>
            </w:rPr>
            <w:t>34</w:t>
          </w:r>
          <w:r>
            <w:fldChar w:fldCharType="end"/>
          </w:r>
        </w:p>
        <w:p w:rsidR="0072721E" w:rsidRDefault="007F04EE">
          <w:pPr>
            <w:tabs>
              <w:tab w:val="right" w:pos="10204"/>
            </w:tabs>
            <w:spacing w:before="60"/>
            <w:ind w:left="360"/>
            <w:rPr>
              <w:color w:val="000000"/>
            </w:rPr>
          </w:pPr>
          <w:hyperlink w:anchor="_7o41kc2mro9d">
            <w:r>
              <w:rPr>
                <w:color w:val="000000"/>
              </w:rPr>
              <w:t>7.3.2 Roadmap for effective conservation and  management of SP albacore</w:t>
            </w:r>
          </w:hyperlink>
          <w:r>
            <w:rPr>
              <w:color w:val="000000"/>
            </w:rPr>
            <w:tab/>
          </w:r>
          <w:r>
            <w:fldChar w:fldCharType="begin"/>
          </w:r>
          <w:r>
            <w:instrText xml:space="preserve"> PAGEREF _7o41kc2mro9d \h </w:instrText>
          </w:r>
          <w:r>
            <w:fldChar w:fldCharType="separate"/>
          </w:r>
          <w:r>
            <w:rPr>
              <w:noProof/>
            </w:rPr>
            <w:t>36</w:t>
          </w:r>
          <w:r>
            <w:fldChar w:fldCharType="end"/>
          </w:r>
        </w:p>
        <w:p w:rsidR="0072721E" w:rsidRDefault="007F04EE">
          <w:pPr>
            <w:tabs>
              <w:tab w:val="right" w:pos="10204"/>
            </w:tabs>
            <w:spacing w:before="60"/>
            <w:ind w:left="360"/>
            <w:rPr>
              <w:color w:val="000000"/>
            </w:rPr>
          </w:pPr>
          <w:hyperlink w:anchor="_pkm5j2btylo7">
            <w:r>
              <w:rPr>
                <w:color w:val="000000"/>
              </w:rPr>
              <w:t>7.3.3 Review of CMM2015-02</w:t>
            </w:r>
          </w:hyperlink>
          <w:r>
            <w:rPr>
              <w:color w:val="000000"/>
            </w:rPr>
            <w:tab/>
          </w:r>
          <w:r>
            <w:fldChar w:fldCharType="begin"/>
          </w:r>
          <w:r>
            <w:instrText xml:space="preserve"> PAGEREF _pkm5j2btylo7 \h </w:instrText>
          </w:r>
          <w:r>
            <w:fldChar w:fldCharType="separate"/>
          </w:r>
          <w:r>
            <w:rPr>
              <w:noProof/>
            </w:rPr>
            <w:t>38</w:t>
          </w:r>
          <w:r>
            <w:fldChar w:fldCharType="end"/>
          </w:r>
        </w:p>
        <w:p w:rsidR="0072721E" w:rsidRDefault="007F04EE">
          <w:pPr>
            <w:tabs>
              <w:tab w:val="right" w:pos="10204"/>
            </w:tabs>
            <w:spacing w:before="60"/>
            <w:ind w:left="360"/>
            <w:rPr>
              <w:color w:val="000000"/>
            </w:rPr>
          </w:pPr>
          <w:hyperlink w:anchor="_s418iqtn5ctm">
            <w:r>
              <w:rPr>
                <w:color w:val="000000"/>
              </w:rPr>
              <w:t>7.4.1 Review of CMM 2019-02 (Pacific bluefin tuna)</w:t>
            </w:r>
          </w:hyperlink>
          <w:r>
            <w:rPr>
              <w:color w:val="000000"/>
            </w:rPr>
            <w:tab/>
          </w:r>
          <w:r>
            <w:fldChar w:fldCharType="begin"/>
          </w:r>
          <w:r>
            <w:instrText xml:space="preserve"> PAGEREF _s418iqtn5ctm \h </w:instrText>
          </w:r>
          <w:r>
            <w:fldChar w:fldCharType="separate"/>
          </w:r>
          <w:r>
            <w:rPr>
              <w:noProof/>
            </w:rPr>
            <w:t>40</w:t>
          </w:r>
          <w:r>
            <w:fldChar w:fldCharType="end"/>
          </w:r>
        </w:p>
        <w:p w:rsidR="0072721E" w:rsidRDefault="007F04EE">
          <w:pPr>
            <w:tabs>
              <w:tab w:val="right" w:pos="10204"/>
            </w:tabs>
            <w:spacing w:before="60"/>
            <w:ind w:left="360"/>
            <w:rPr>
              <w:color w:val="000000"/>
            </w:rPr>
          </w:pPr>
          <w:hyperlink w:anchor="_th5rwk3f0sn8">
            <w:r>
              <w:rPr>
                <w:color w:val="000000"/>
              </w:rPr>
              <w:t>7.5.1 Future projections as requested by WCPFC16 (for SW Pacific swordfish)</w:t>
            </w:r>
          </w:hyperlink>
          <w:r>
            <w:rPr>
              <w:color w:val="000000"/>
            </w:rPr>
            <w:tab/>
          </w:r>
          <w:r>
            <w:fldChar w:fldCharType="begin"/>
          </w:r>
          <w:r>
            <w:instrText xml:space="preserve"> PAGEREF _th5rwk3f0sn8 \h </w:instrText>
          </w:r>
          <w:r>
            <w:fldChar w:fldCharType="separate"/>
          </w:r>
          <w:r>
            <w:rPr>
              <w:noProof/>
            </w:rPr>
            <w:t>42</w:t>
          </w:r>
          <w:r>
            <w:fldChar w:fldCharType="end"/>
          </w:r>
        </w:p>
        <w:p w:rsidR="0072721E" w:rsidRDefault="007F04EE">
          <w:pPr>
            <w:tabs>
              <w:tab w:val="right" w:pos="10204"/>
            </w:tabs>
            <w:spacing w:before="60"/>
            <w:ind w:left="360"/>
            <w:rPr>
              <w:color w:val="000000"/>
            </w:rPr>
          </w:pPr>
          <w:hyperlink w:anchor="_3o9ebso7s5db">
            <w:r>
              <w:rPr>
                <w:color w:val="000000"/>
              </w:rPr>
              <w:t>7.5.2 Review of CMM 2009-03</w:t>
            </w:r>
          </w:hyperlink>
          <w:r>
            <w:rPr>
              <w:color w:val="000000"/>
            </w:rPr>
            <w:tab/>
          </w:r>
          <w:r>
            <w:fldChar w:fldCharType="begin"/>
          </w:r>
          <w:r>
            <w:instrText xml:space="preserve"> PAGEREF _3o9ebso7s5db \h </w:instrText>
          </w:r>
          <w:r>
            <w:fldChar w:fldCharType="separate"/>
          </w:r>
          <w:r>
            <w:rPr>
              <w:noProof/>
            </w:rPr>
            <w:t>44</w:t>
          </w:r>
          <w:r>
            <w:fldChar w:fldCharType="end"/>
          </w:r>
        </w:p>
        <w:p w:rsidR="0072721E" w:rsidRDefault="007F04EE">
          <w:pPr>
            <w:tabs>
              <w:tab w:val="right" w:pos="10204"/>
            </w:tabs>
            <w:spacing w:before="200"/>
            <w:ind w:left="0"/>
            <w:rPr>
              <w:b/>
              <w:color w:val="000000"/>
            </w:rPr>
          </w:pPr>
          <w:hyperlink w:anchor="_1egqt2p">
            <w:r>
              <w:rPr>
                <w:b/>
                <w:color w:val="000000"/>
              </w:rPr>
              <w:t>AGENDA ITEM 8 HARVEST STRATEGY</w:t>
            </w:r>
          </w:hyperlink>
          <w:r>
            <w:rPr>
              <w:b/>
              <w:color w:val="000000"/>
            </w:rPr>
            <w:tab/>
          </w:r>
          <w:r>
            <w:fldChar w:fldCharType="begin"/>
          </w:r>
          <w:r>
            <w:instrText xml:space="preserve"> PAGEREF _1egqt2p \h </w:instrText>
          </w:r>
          <w:r>
            <w:fldChar w:fldCharType="separate"/>
          </w:r>
          <w:r>
            <w:rPr>
              <w:noProof/>
            </w:rPr>
            <w:t>48</w:t>
          </w:r>
          <w:r>
            <w:fldChar w:fldCharType="end"/>
          </w:r>
        </w:p>
        <w:p w:rsidR="0072721E" w:rsidRDefault="007F04EE">
          <w:pPr>
            <w:tabs>
              <w:tab w:val="right" w:pos="10204"/>
            </w:tabs>
            <w:spacing w:before="60"/>
            <w:ind w:left="360"/>
            <w:rPr>
              <w:color w:val="000000"/>
            </w:rPr>
          </w:pPr>
          <w:hyperlink w:anchor="_7nj8xet5l9os">
            <w:r>
              <w:rPr>
                <w:color w:val="000000"/>
              </w:rPr>
              <w:t>8.1 Review of Indicative Work Plan</w:t>
            </w:r>
          </w:hyperlink>
          <w:r>
            <w:rPr>
              <w:color w:val="000000"/>
            </w:rPr>
            <w:tab/>
          </w:r>
          <w:r>
            <w:fldChar w:fldCharType="begin"/>
          </w:r>
          <w:r>
            <w:instrText xml:space="preserve"> PAGEREF _7nj8xet5l9os \h </w:instrText>
          </w:r>
          <w:r>
            <w:fldChar w:fldCharType="separate"/>
          </w:r>
          <w:r>
            <w:rPr>
              <w:noProof/>
            </w:rPr>
            <w:t>48</w:t>
          </w:r>
          <w:r>
            <w:fldChar w:fldCharType="end"/>
          </w:r>
        </w:p>
        <w:p w:rsidR="0072721E" w:rsidRDefault="007F04EE">
          <w:pPr>
            <w:tabs>
              <w:tab w:val="right" w:pos="10204"/>
            </w:tabs>
            <w:spacing w:before="60"/>
            <w:ind w:left="360"/>
            <w:rPr>
              <w:color w:val="000000"/>
            </w:rPr>
          </w:pPr>
          <w:hyperlink w:anchor="_aez484z92idl">
            <w:r>
              <w:rPr>
                <w:color w:val="000000"/>
              </w:rPr>
              <w:t>8.2 Science Management Dialogue</w:t>
            </w:r>
          </w:hyperlink>
          <w:r>
            <w:rPr>
              <w:color w:val="000000"/>
            </w:rPr>
            <w:tab/>
          </w:r>
          <w:r>
            <w:fldChar w:fldCharType="begin"/>
          </w:r>
          <w:r>
            <w:instrText xml:space="preserve"> PAGEREF _aez484z92idl \h </w:instrText>
          </w:r>
          <w:r>
            <w:fldChar w:fldCharType="separate"/>
          </w:r>
          <w:r>
            <w:rPr>
              <w:noProof/>
            </w:rPr>
            <w:t>51</w:t>
          </w:r>
          <w:r>
            <w:fldChar w:fldCharType="end"/>
          </w:r>
        </w:p>
        <w:p w:rsidR="0072721E" w:rsidRDefault="007F04EE">
          <w:pPr>
            <w:tabs>
              <w:tab w:val="right" w:pos="10204"/>
            </w:tabs>
            <w:spacing w:before="200"/>
            <w:ind w:left="0"/>
            <w:rPr>
              <w:b/>
              <w:color w:val="000000"/>
            </w:rPr>
          </w:pPr>
          <w:hyperlink w:anchor="_1rvwp1q">
            <w:r>
              <w:rPr>
                <w:b/>
                <w:color w:val="000000"/>
              </w:rPr>
              <w:t>AGENDA ITEM 9 REPORTS FROM SUBSIDIARY BODIES AND WORKING GROUPS</w:t>
            </w:r>
          </w:hyperlink>
          <w:r>
            <w:rPr>
              <w:b/>
              <w:color w:val="000000"/>
            </w:rPr>
            <w:tab/>
          </w:r>
          <w:r>
            <w:fldChar w:fldCharType="begin"/>
          </w:r>
          <w:r>
            <w:instrText xml:space="preserve"> PAGEREF _1rvwp1q \h </w:instrText>
          </w:r>
          <w:r>
            <w:fldChar w:fldCharType="separate"/>
          </w:r>
          <w:r>
            <w:rPr>
              <w:noProof/>
            </w:rPr>
            <w:t>54</w:t>
          </w:r>
          <w:r>
            <w:fldChar w:fldCharType="end"/>
          </w:r>
        </w:p>
        <w:p w:rsidR="0072721E" w:rsidRDefault="007F04EE">
          <w:pPr>
            <w:tabs>
              <w:tab w:val="right" w:pos="10204"/>
            </w:tabs>
            <w:spacing w:before="60"/>
            <w:ind w:left="360"/>
            <w:rPr>
              <w:color w:val="000000"/>
            </w:rPr>
          </w:pPr>
          <w:hyperlink w:anchor="_h2pv0lwspnfz">
            <w:r>
              <w:rPr>
                <w:color w:val="000000"/>
              </w:rPr>
              <w:t>9.1 SC17</w:t>
            </w:r>
          </w:hyperlink>
          <w:r>
            <w:rPr>
              <w:color w:val="000000"/>
            </w:rPr>
            <w:tab/>
          </w:r>
          <w:r>
            <w:fldChar w:fldCharType="begin"/>
          </w:r>
          <w:r>
            <w:instrText xml:space="preserve"> PAGEREF _h2pv0lwspnfz \h </w:instrText>
          </w:r>
          <w:r>
            <w:fldChar w:fldCharType="separate"/>
          </w:r>
          <w:r>
            <w:rPr>
              <w:noProof/>
            </w:rPr>
            <w:t>54</w:t>
          </w:r>
          <w:r>
            <w:fldChar w:fldCharType="end"/>
          </w:r>
        </w:p>
        <w:p w:rsidR="0072721E" w:rsidRDefault="007F04EE">
          <w:pPr>
            <w:tabs>
              <w:tab w:val="right" w:pos="10204"/>
            </w:tabs>
            <w:spacing w:before="60"/>
            <w:ind w:left="360"/>
            <w:rPr>
              <w:color w:val="000000"/>
            </w:rPr>
          </w:pPr>
          <w:hyperlink w:anchor="_mgxf9iar3e1z">
            <w:r>
              <w:rPr>
                <w:color w:val="000000"/>
              </w:rPr>
              <w:t>9.2 TCC17</w:t>
            </w:r>
          </w:hyperlink>
          <w:r>
            <w:rPr>
              <w:color w:val="000000"/>
            </w:rPr>
            <w:tab/>
          </w:r>
          <w:r>
            <w:fldChar w:fldCharType="begin"/>
          </w:r>
          <w:r>
            <w:instrText xml:space="preserve"> PAGEREF _mgxf9iar3e1z \h </w:instrText>
          </w:r>
          <w:r>
            <w:fldChar w:fldCharType="separate"/>
          </w:r>
          <w:r>
            <w:rPr>
              <w:noProof/>
            </w:rPr>
            <w:t>55</w:t>
          </w:r>
          <w:r>
            <w:fldChar w:fldCharType="end"/>
          </w:r>
        </w:p>
        <w:p w:rsidR="0072721E" w:rsidRDefault="007F04EE">
          <w:pPr>
            <w:tabs>
              <w:tab w:val="right" w:pos="10204"/>
            </w:tabs>
            <w:spacing w:before="60"/>
            <w:ind w:left="360"/>
            <w:rPr>
              <w:color w:val="000000"/>
            </w:rPr>
          </w:pPr>
          <w:hyperlink w:anchor="_lx9ymefkaq9n">
            <w:r>
              <w:rPr>
                <w:color w:val="000000"/>
              </w:rPr>
              <w:t>9.3 NC17</w:t>
            </w:r>
          </w:hyperlink>
          <w:r>
            <w:rPr>
              <w:color w:val="000000"/>
            </w:rPr>
            <w:tab/>
          </w:r>
          <w:r>
            <w:fldChar w:fldCharType="begin"/>
          </w:r>
          <w:r>
            <w:instrText xml:space="preserve"> PAGEREF _lx9ymefkaq9n \h </w:instrText>
          </w:r>
          <w:r>
            <w:fldChar w:fldCharType="separate"/>
          </w:r>
          <w:r>
            <w:rPr>
              <w:noProof/>
            </w:rPr>
            <w:t>55</w:t>
          </w:r>
          <w:r>
            <w:fldChar w:fldCharType="end"/>
          </w:r>
        </w:p>
        <w:p w:rsidR="0072721E" w:rsidRDefault="007F04EE">
          <w:pPr>
            <w:tabs>
              <w:tab w:val="right" w:pos="10204"/>
            </w:tabs>
            <w:spacing w:before="60"/>
            <w:ind w:left="360"/>
            <w:rPr>
              <w:color w:val="000000"/>
            </w:rPr>
          </w:pPr>
          <w:hyperlink w:anchor="_aq5cnmy6ovfj">
            <w:r>
              <w:rPr>
                <w:color w:val="000000"/>
              </w:rPr>
              <w:t>9.4.1 E-Reporting and E-Monitoring (ERandEM WG)</w:t>
            </w:r>
          </w:hyperlink>
          <w:r>
            <w:rPr>
              <w:color w:val="000000"/>
            </w:rPr>
            <w:tab/>
          </w:r>
          <w:r>
            <w:fldChar w:fldCharType="begin"/>
          </w:r>
          <w:r>
            <w:instrText xml:space="preserve"> PAGEREF _aq5cnmy6ovfj \h </w:instrText>
          </w:r>
          <w:r>
            <w:fldChar w:fldCharType="separate"/>
          </w:r>
          <w:r>
            <w:rPr>
              <w:noProof/>
            </w:rPr>
            <w:t>56</w:t>
          </w:r>
          <w:r>
            <w:fldChar w:fldCharType="end"/>
          </w:r>
        </w:p>
        <w:p w:rsidR="0072721E" w:rsidRDefault="007F04EE">
          <w:pPr>
            <w:tabs>
              <w:tab w:val="right" w:pos="10204"/>
            </w:tabs>
            <w:spacing w:before="60"/>
            <w:ind w:left="360"/>
            <w:rPr>
              <w:color w:val="000000"/>
            </w:rPr>
          </w:pPr>
          <w:hyperlink w:anchor="_9piham5riqm0">
            <w:r>
              <w:rPr>
                <w:color w:val="000000"/>
              </w:rPr>
              <w:t>9.4.2 Transhipment review (TS IWG)</w:t>
            </w:r>
          </w:hyperlink>
          <w:r>
            <w:rPr>
              <w:color w:val="000000"/>
            </w:rPr>
            <w:tab/>
          </w:r>
          <w:r>
            <w:fldChar w:fldCharType="begin"/>
          </w:r>
          <w:r>
            <w:instrText xml:space="preserve"> PAGEREF _9piham5riqm0 \h </w:instrText>
          </w:r>
          <w:r>
            <w:fldChar w:fldCharType="separate"/>
          </w:r>
          <w:r>
            <w:rPr>
              <w:noProof/>
            </w:rPr>
            <w:t>58</w:t>
          </w:r>
          <w:r>
            <w:fldChar w:fldCharType="end"/>
          </w:r>
        </w:p>
        <w:p w:rsidR="0072721E" w:rsidRDefault="007F04EE">
          <w:pPr>
            <w:tabs>
              <w:tab w:val="right" w:pos="10204"/>
            </w:tabs>
            <w:spacing w:before="60"/>
            <w:ind w:left="360"/>
            <w:rPr>
              <w:color w:val="000000"/>
            </w:rPr>
          </w:pPr>
          <w:hyperlink w:anchor="_pzvq64a2vavn">
            <w:r>
              <w:rPr>
                <w:color w:val="000000"/>
              </w:rPr>
              <w:t>9.4.3 Crew Labour Standards</w:t>
            </w:r>
          </w:hyperlink>
          <w:r>
            <w:rPr>
              <w:color w:val="000000"/>
            </w:rPr>
            <w:tab/>
          </w:r>
          <w:r>
            <w:fldChar w:fldCharType="begin"/>
          </w:r>
          <w:r>
            <w:instrText xml:space="preserve"> PAGEREF _pzvq64a2vavn \h </w:instrText>
          </w:r>
          <w:r>
            <w:fldChar w:fldCharType="separate"/>
          </w:r>
          <w:r>
            <w:rPr>
              <w:noProof/>
            </w:rPr>
            <w:t>60</w:t>
          </w:r>
          <w:r>
            <w:fldChar w:fldCharType="end"/>
          </w:r>
        </w:p>
        <w:p w:rsidR="0072721E" w:rsidRDefault="007F04EE">
          <w:pPr>
            <w:tabs>
              <w:tab w:val="right" w:pos="10204"/>
            </w:tabs>
            <w:spacing w:before="200"/>
            <w:ind w:left="0"/>
            <w:rPr>
              <w:b/>
              <w:color w:val="000000"/>
            </w:rPr>
          </w:pPr>
          <w:hyperlink w:anchor="_25b2l0r">
            <w:r>
              <w:rPr>
                <w:b/>
                <w:color w:val="000000"/>
              </w:rPr>
              <w:t>AGENDA ITEM 10 COMPLIANCE MONITORING SCHEME</w:t>
            </w:r>
          </w:hyperlink>
          <w:r>
            <w:rPr>
              <w:b/>
              <w:color w:val="000000"/>
            </w:rPr>
            <w:tab/>
          </w:r>
          <w:r>
            <w:fldChar w:fldCharType="begin"/>
          </w:r>
          <w:r>
            <w:instrText xml:space="preserve"> PAGEREF _25b2l0r \h </w:instrText>
          </w:r>
          <w:r>
            <w:fldChar w:fldCharType="separate"/>
          </w:r>
          <w:r>
            <w:rPr>
              <w:noProof/>
            </w:rPr>
            <w:t>61</w:t>
          </w:r>
          <w:r>
            <w:fldChar w:fldCharType="end"/>
          </w:r>
        </w:p>
        <w:p w:rsidR="0072721E" w:rsidRDefault="007F04EE">
          <w:pPr>
            <w:tabs>
              <w:tab w:val="right" w:pos="10204"/>
            </w:tabs>
            <w:spacing w:before="60"/>
            <w:ind w:left="360"/>
            <w:rPr>
              <w:color w:val="000000"/>
            </w:rPr>
          </w:pPr>
          <w:hyperlink w:anchor="_1gz84zmfxy89">
            <w:r>
              <w:rPr>
                <w:color w:val="000000"/>
              </w:rPr>
              <w:t>10.1 Consideration and adoption of the final Compliance Monitoring Report (fCMR)</w:t>
            </w:r>
          </w:hyperlink>
          <w:r>
            <w:rPr>
              <w:color w:val="000000"/>
            </w:rPr>
            <w:tab/>
          </w:r>
          <w:r>
            <w:fldChar w:fldCharType="begin"/>
          </w:r>
          <w:r>
            <w:instrText xml:space="preserve"> PAGEREF _1gz84zmfxy89 \h </w:instrText>
          </w:r>
          <w:r>
            <w:fldChar w:fldCharType="separate"/>
          </w:r>
          <w:r>
            <w:rPr>
              <w:noProof/>
            </w:rPr>
            <w:t>61</w:t>
          </w:r>
          <w:r>
            <w:fldChar w:fldCharType="end"/>
          </w:r>
        </w:p>
        <w:p w:rsidR="0072721E" w:rsidRDefault="007F04EE">
          <w:pPr>
            <w:tabs>
              <w:tab w:val="right" w:pos="10204"/>
            </w:tabs>
            <w:spacing w:before="60"/>
            <w:ind w:left="360"/>
            <w:rPr>
              <w:color w:val="000000"/>
            </w:rPr>
          </w:pPr>
          <w:hyperlink w:anchor="_xyk503958h3r">
            <w:r>
              <w:rPr>
                <w:color w:val="000000"/>
              </w:rPr>
              <w:t>10.2 Work to progress the CMS future work included in Section IX of CMM 2019-06 Compliance Monitoring Scheme (CMS-IWG).</w:t>
            </w:r>
          </w:hyperlink>
          <w:r>
            <w:rPr>
              <w:color w:val="000000"/>
            </w:rPr>
            <w:tab/>
          </w:r>
          <w:r>
            <w:fldChar w:fldCharType="begin"/>
          </w:r>
          <w:r>
            <w:instrText xml:space="preserve"> PAGEREF _xyk503958h3r \h </w:instrText>
          </w:r>
          <w:r>
            <w:fldChar w:fldCharType="separate"/>
          </w:r>
          <w:r>
            <w:rPr>
              <w:noProof/>
            </w:rPr>
            <w:t>63</w:t>
          </w:r>
          <w:r>
            <w:fldChar w:fldCharType="end"/>
          </w:r>
        </w:p>
        <w:p w:rsidR="0072721E" w:rsidRDefault="007F04EE">
          <w:pPr>
            <w:tabs>
              <w:tab w:val="right" w:pos="10204"/>
            </w:tabs>
            <w:spacing w:before="60"/>
            <w:ind w:left="360"/>
            <w:rPr>
              <w:color w:val="000000"/>
            </w:rPr>
          </w:pPr>
          <w:hyperlink w:anchor="_38t8nr5z27r6">
            <w:r>
              <w:rPr>
                <w:color w:val="000000"/>
              </w:rPr>
              <w:t>10.3 Expiry of CMM 2019-06 on Compliance Monitoring Scheme (CMS)</w:t>
            </w:r>
          </w:hyperlink>
          <w:r>
            <w:rPr>
              <w:color w:val="000000"/>
            </w:rPr>
            <w:tab/>
          </w:r>
          <w:r>
            <w:fldChar w:fldCharType="begin"/>
          </w:r>
          <w:r>
            <w:instrText xml:space="preserve"> PAGEREF _38t8nr5z27r6 \h </w:instrText>
          </w:r>
          <w:r>
            <w:fldChar w:fldCharType="separate"/>
          </w:r>
          <w:r>
            <w:rPr>
              <w:noProof/>
            </w:rPr>
            <w:t>65</w:t>
          </w:r>
          <w:r>
            <w:fldChar w:fldCharType="end"/>
          </w:r>
        </w:p>
        <w:p w:rsidR="0072721E" w:rsidRDefault="007F04EE">
          <w:pPr>
            <w:tabs>
              <w:tab w:val="right" w:pos="10204"/>
            </w:tabs>
            <w:spacing w:before="60"/>
            <w:ind w:left="360"/>
            <w:rPr>
              <w:color w:val="000000"/>
            </w:rPr>
          </w:pPr>
          <w:hyperlink w:anchor="_g9r24il6tvuu">
            <w:r>
              <w:rPr>
                <w:color w:val="000000"/>
              </w:rPr>
              <w:t>10.4 List of obligations to be assessed under the CMS</w:t>
            </w:r>
          </w:hyperlink>
          <w:r>
            <w:rPr>
              <w:color w:val="000000"/>
            </w:rPr>
            <w:tab/>
          </w:r>
          <w:r>
            <w:fldChar w:fldCharType="begin"/>
          </w:r>
          <w:r>
            <w:instrText xml:space="preserve"> PAGEREF _g9r24il6tvuu \h </w:instrText>
          </w:r>
          <w:r>
            <w:fldChar w:fldCharType="separate"/>
          </w:r>
          <w:r>
            <w:rPr>
              <w:noProof/>
            </w:rPr>
            <w:t>67</w:t>
          </w:r>
          <w:r>
            <w:fldChar w:fldCharType="end"/>
          </w:r>
        </w:p>
        <w:p w:rsidR="0072721E" w:rsidRDefault="007F04EE">
          <w:pPr>
            <w:tabs>
              <w:tab w:val="right" w:pos="10204"/>
            </w:tabs>
            <w:spacing w:before="200"/>
            <w:ind w:left="0"/>
            <w:rPr>
              <w:b/>
              <w:color w:val="000000"/>
            </w:rPr>
          </w:pPr>
          <w:hyperlink w:anchor="_43ky6rz">
            <w:r>
              <w:rPr>
                <w:b/>
                <w:color w:val="000000"/>
              </w:rPr>
              <w:t>AGENDA ITEM 11 ADOPTION OF THE 2022 IUU VESSEL LIST</w:t>
            </w:r>
          </w:hyperlink>
          <w:r>
            <w:rPr>
              <w:b/>
              <w:color w:val="000000"/>
            </w:rPr>
            <w:tab/>
          </w:r>
          <w:r>
            <w:fldChar w:fldCharType="begin"/>
          </w:r>
          <w:r>
            <w:instrText xml:space="preserve"> PAGEREF _43ky6rz \h </w:instrText>
          </w:r>
          <w:r>
            <w:fldChar w:fldCharType="separate"/>
          </w:r>
          <w:r>
            <w:rPr>
              <w:noProof/>
            </w:rPr>
            <w:t>68</w:t>
          </w:r>
          <w:r>
            <w:fldChar w:fldCharType="end"/>
          </w:r>
        </w:p>
        <w:p w:rsidR="0072721E" w:rsidRDefault="007F04EE">
          <w:pPr>
            <w:tabs>
              <w:tab w:val="right" w:pos="10204"/>
            </w:tabs>
            <w:spacing w:before="60"/>
            <w:ind w:left="360"/>
            <w:rPr>
              <w:color w:val="000000"/>
            </w:rPr>
          </w:pPr>
          <w:hyperlink w:anchor="_8098k9eidmsp">
            <w:r>
              <w:rPr>
                <w:color w:val="000000"/>
              </w:rPr>
              <w:t>11. Adoption of the 2022 IUU Vessel List</w:t>
            </w:r>
          </w:hyperlink>
          <w:r>
            <w:rPr>
              <w:color w:val="000000"/>
            </w:rPr>
            <w:tab/>
          </w:r>
          <w:r>
            <w:fldChar w:fldCharType="begin"/>
          </w:r>
          <w:r>
            <w:instrText xml:space="preserve"> PAGEREF _8098k9eidmsp \h </w:instrText>
          </w:r>
          <w:r>
            <w:fldChar w:fldCharType="separate"/>
          </w:r>
          <w:r>
            <w:rPr>
              <w:noProof/>
            </w:rPr>
            <w:t>68</w:t>
          </w:r>
          <w:r>
            <w:fldChar w:fldCharType="end"/>
          </w:r>
        </w:p>
        <w:p w:rsidR="0072721E" w:rsidRDefault="007F04EE">
          <w:pPr>
            <w:tabs>
              <w:tab w:val="right" w:pos="10204"/>
            </w:tabs>
            <w:spacing w:before="200"/>
            <w:ind w:left="0"/>
            <w:rPr>
              <w:b/>
              <w:color w:val="000000"/>
            </w:rPr>
          </w:pPr>
          <w:hyperlink w:anchor="_2iq8gzs">
            <w:r>
              <w:rPr>
                <w:b/>
                <w:color w:val="000000"/>
              </w:rPr>
              <w:t>AGENDA ITEM 12 REPORT OF THE FAC15</w:t>
            </w:r>
          </w:hyperlink>
          <w:r>
            <w:rPr>
              <w:b/>
              <w:color w:val="000000"/>
            </w:rPr>
            <w:tab/>
          </w:r>
          <w:r>
            <w:fldChar w:fldCharType="begin"/>
          </w:r>
          <w:r>
            <w:instrText xml:space="preserve"> PAGEREF _2iq8gzs \h </w:instrText>
          </w:r>
          <w:r>
            <w:fldChar w:fldCharType="separate"/>
          </w:r>
          <w:r>
            <w:rPr>
              <w:noProof/>
            </w:rPr>
            <w:t>71</w:t>
          </w:r>
          <w:r>
            <w:fldChar w:fldCharType="end"/>
          </w:r>
        </w:p>
        <w:p w:rsidR="0072721E" w:rsidRDefault="007F04EE">
          <w:pPr>
            <w:tabs>
              <w:tab w:val="right" w:pos="10204"/>
            </w:tabs>
            <w:spacing w:before="60"/>
            <w:ind w:left="360"/>
            <w:rPr>
              <w:color w:val="000000"/>
            </w:rPr>
          </w:pPr>
          <w:hyperlink w:anchor="_8p9zlo22qf22">
            <w:r>
              <w:rPr>
                <w:color w:val="000000"/>
              </w:rPr>
              <w:t>12.1 Report of the Fifteenth Finance and Administration Committee</w:t>
            </w:r>
          </w:hyperlink>
          <w:r>
            <w:rPr>
              <w:color w:val="000000"/>
            </w:rPr>
            <w:tab/>
          </w:r>
          <w:r>
            <w:fldChar w:fldCharType="begin"/>
          </w:r>
          <w:r>
            <w:instrText xml:space="preserve"> PAGEREF _8p9zlo22qf22 \h </w:instrText>
          </w:r>
          <w:r>
            <w:fldChar w:fldCharType="separate"/>
          </w:r>
          <w:r>
            <w:rPr>
              <w:noProof/>
            </w:rPr>
            <w:t>71</w:t>
          </w:r>
          <w:r>
            <w:fldChar w:fldCharType="end"/>
          </w:r>
        </w:p>
        <w:p w:rsidR="0072721E" w:rsidRDefault="007F04EE">
          <w:pPr>
            <w:tabs>
              <w:tab w:val="right" w:pos="10204"/>
            </w:tabs>
            <w:spacing w:before="60"/>
            <w:ind w:left="360"/>
            <w:rPr>
              <w:color w:val="000000"/>
            </w:rPr>
          </w:pPr>
          <w:hyperlink w:anchor="_ckcehreiapw8">
            <w:r>
              <w:rPr>
                <w:color w:val="000000"/>
              </w:rPr>
              <w:t>12.2 Budget for 2022 and Indicative Budgets for 2023 and 2024</w:t>
            </w:r>
          </w:hyperlink>
          <w:r>
            <w:rPr>
              <w:color w:val="000000"/>
            </w:rPr>
            <w:tab/>
          </w:r>
          <w:r>
            <w:fldChar w:fldCharType="begin"/>
          </w:r>
          <w:r>
            <w:instrText xml:space="preserve"> PAGEREF _ckcehreiapw8 \h </w:instrText>
          </w:r>
          <w:r>
            <w:fldChar w:fldCharType="separate"/>
          </w:r>
          <w:r>
            <w:rPr>
              <w:noProof/>
            </w:rPr>
            <w:t>71</w:t>
          </w:r>
          <w:r>
            <w:fldChar w:fldCharType="end"/>
          </w:r>
        </w:p>
        <w:p w:rsidR="0072721E" w:rsidRDefault="007F04EE">
          <w:pPr>
            <w:tabs>
              <w:tab w:val="right" w:pos="10204"/>
            </w:tabs>
            <w:spacing w:before="60"/>
            <w:ind w:left="360"/>
            <w:rPr>
              <w:color w:val="000000"/>
            </w:rPr>
          </w:pPr>
          <w:hyperlink w:anchor="_h30cp62ow3dm">
            <w:r>
              <w:rPr>
                <w:color w:val="000000"/>
              </w:rPr>
              <w:t>FFA FAC BRIEF</w:t>
            </w:r>
          </w:hyperlink>
          <w:r>
            <w:rPr>
              <w:color w:val="000000"/>
            </w:rPr>
            <w:tab/>
          </w:r>
          <w:r>
            <w:fldChar w:fldCharType="begin"/>
          </w:r>
          <w:r>
            <w:instrText xml:space="preserve"> PAGEREF _h30cp62ow3dm \h </w:instrText>
          </w:r>
          <w:r>
            <w:fldChar w:fldCharType="separate"/>
          </w:r>
          <w:r>
            <w:rPr>
              <w:noProof/>
            </w:rPr>
            <w:t>72</w:t>
          </w:r>
          <w:r>
            <w:fldChar w:fldCharType="end"/>
          </w:r>
        </w:p>
        <w:p w:rsidR="0072721E" w:rsidRDefault="007F04EE">
          <w:pPr>
            <w:tabs>
              <w:tab w:val="right" w:pos="10204"/>
            </w:tabs>
            <w:spacing w:before="200"/>
            <w:ind w:left="0"/>
            <w:rPr>
              <w:b/>
              <w:color w:val="000000"/>
            </w:rPr>
          </w:pPr>
          <w:hyperlink w:anchor="_1x0gk37">
            <w:r>
              <w:rPr>
                <w:b/>
                <w:color w:val="000000"/>
              </w:rPr>
              <w:t>AGENDA ITEM 13 ADMINISTRATIVE MATTERS</w:t>
            </w:r>
          </w:hyperlink>
          <w:r>
            <w:rPr>
              <w:b/>
              <w:color w:val="000000"/>
            </w:rPr>
            <w:tab/>
          </w:r>
          <w:r>
            <w:fldChar w:fldCharType="begin"/>
          </w:r>
          <w:r>
            <w:instrText xml:space="preserve"> PAGEREF _1x0gk37 \h </w:instrText>
          </w:r>
          <w:r>
            <w:fldChar w:fldCharType="separate"/>
          </w:r>
          <w:r>
            <w:rPr>
              <w:noProof/>
            </w:rPr>
            <w:t>78</w:t>
          </w:r>
          <w:r>
            <w:fldChar w:fldCharType="end"/>
          </w:r>
        </w:p>
        <w:p w:rsidR="0072721E" w:rsidRDefault="007F04EE">
          <w:pPr>
            <w:tabs>
              <w:tab w:val="right" w:pos="10204"/>
            </w:tabs>
            <w:spacing w:before="60"/>
            <w:ind w:left="360"/>
            <w:rPr>
              <w:color w:val="000000"/>
            </w:rPr>
          </w:pPr>
          <w:hyperlink w:anchor="_byb9xzxy5bjn">
            <w:r>
              <w:rPr>
                <w:color w:val="000000"/>
              </w:rPr>
              <w:t>13.1 Election of officers</w:t>
            </w:r>
          </w:hyperlink>
          <w:r>
            <w:rPr>
              <w:color w:val="000000"/>
            </w:rPr>
            <w:tab/>
          </w:r>
          <w:r>
            <w:fldChar w:fldCharType="begin"/>
          </w:r>
          <w:r>
            <w:instrText xml:space="preserve"> PAGEREF _byb9xzxy5bjn \h </w:instrText>
          </w:r>
          <w:r>
            <w:fldChar w:fldCharType="separate"/>
          </w:r>
          <w:r>
            <w:rPr>
              <w:noProof/>
            </w:rPr>
            <w:t>78</w:t>
          </w:r>
          <w:r>
            <w:fldChar w:fldCharType="end"/>
          </w:r>
        </w:p>
        <w:p w:rsidR="0072721E" w:rsidRDefault="007F04EE">
          <w:pPr>
            <w:tabs>
              <w:tab w:val="right" w:pos="10204"/>
            </w:tabs>
            <w:spacing w:before="60"/>
            <w:ind w:left="360"/>
            <w:rPr>
              <w:color w:val="000000"/>
            </w:rPr>
          </w:pPr>
          <w:hyperlink w:anchor="_anbemmgvdegl">
            <w:r>
              <w:rPr>
                <w:color w:val="000000"/>
              </w:rPr>
              <w:t>13.2 Future meetings</w:t>
            </w:r>
          </w:hyperlink>
          <w:r>
            <w:rPr>
              <w:color w:val="000000"/>
            </w:rPr>
            <w:tab/>
          </w:r>
          <w:r>
            <w:fldChar w:fldCharType="begin"/>
          </w:r>
          <w:r>
            <w:instrText xml:space="preserve"> PAGEREF _anbemmgvdegl \h </w:instrText>
          </w:r>
          <w:r>
            <w:fldChar w:fldCharType="separate"/>
          </w:r>
          <w:r>
            <w:rPr>
              <w:noProof/>
            </w:rPr>
            <w:t>78</w:t>
          </w:r>
          <w:r>
            <w:fldChar w:fldCharType="end"/>
          </w:r>
        </w:p>
        <w:p w:rsidR="0072721E" w:rsidRDefault="007F04EE">
          <w:pPr>
            <w:tabs>
              <w:tab w:val="right" w:pos="10204"/>
            </w:tabs>
            <w:spacing w:before="200"/>
            <w:ind w:left="0"/>
            <w:rPr>
              <w:b/>
              <w:color w:val="000000"/>
            </w:rPr>
          </w:pPr>
          <w:hyperlink w:anchor="_1opuj5n">
            <w:r>
              <w:rPr>
                <w:b/>
                <w:color w:val="000000"/>
              </w:rPr>
              <w:t>AGENDA ITEM 14 OTHER MATTERS</w:t>
            </w:r>
          </w:hyperlink>
          <w:r>
            <w:rPr>
              <w:b/>
              <w:color w:val="000000"/>
            </w:rPr>
            <w:tab/>
          </w:r>
          <w:r>
            <w:fldChar w:fldCharType="begin"/>
          </w:r>
          <w:r>
            <w:instrText xml:space="preserve"> PAGEREF _1opuj5n \h </w:instrText>
          </w:r>
          <w:r>
            <w:fldChar w:fldCharType="separate"/>
          </w:r>
          <w:r>
            <w:rPr>
              <w:noProof/>
            </w:rPr>
            <w:t>78</w:t>
          </w:r>
          <w:r>
            <w:fldChar w:fldCharType="end"/>
          </w:r>
        </w:p>
        <w:p w:rsidR="0072721E" w:rsidRDefault="007F04EE">
          <w:pPr>
            <w:tabs>
              <w:tab w:val="right" w:pos="10204"/>
            </w:tabs>
            <w:spacing w:before="200"/>
            <w:ind w:left="0"/>
            <w:rPr>
              <w:b/>
              <w:color w:val="000000"/>
            </w:rPr>
          </w:pPr>
          <w:hyperlink w:anchor="_48pi1tg">
            <w:r>
              <w:rPr>
                <w:b/>
                <w:color w:val="000000"/>
              </w:rPr>
              <w:t>AGENDA ITEM 15 SUMMARY REPORT OF THE WCPFC18</w:t>
            </w:r>
          </w:hyperlink>
          <w:r>
            <w:rPr>
              <w:b/>
              <w:color w:val="000000"/>
            </w:rPr>
            <w:tab/>
          </w:r>
          <w:r>
            <w:fldChar w:fldCharType="begin"/>
          </w:r>
          <w:r>
            <w:instrText xml:space="preserve"> PAGEREF _48pi1tg \h </w:instrText>
          </w:r>
          <w:r>
            <w:fldChar w:fldCharType="separate"/>
          </w:r>
          <w:r>
            <w:rPr>
              <w:noProof/>
            </w:rPr>
            <w:t>78</w:t>
          </w:r>
          <w:r>
            <w:fldChar w:fldCharType="end"/>
          </w:r>
        </w:p>
        <w:p w:rsidR="0072721E" w:rsidRDefault="007F04EE">
          <w:pPr>
            <w:tabs>
              <w:tab w:val="right" w:pos="10204"/>
            </w:tabs>
            <w:spacing w:before="200"/>
            <w:ind w:left="0"/>
            <w:rPr>
              <w:b/>
              <w:color w:val="000000"/>
            </w:rPr>
          </w:pPr>
          <w:hyperlink w:anchor="_2nusc19">
            <w:r>
              <w:rPr>
                <w:b/>
                <w:color w:val="000000"/>
              </w:rPr>
              <w:t>AGENDA ITEM 16 CLOSE OF MEETING</w:t>
            </w:r>
          </w:hyperlink>
          <w:r>
            <w:rPr>
              <w:b/>
              <w:color w:val="000000"/>
            </w:rPr>
            <w:tab/>
          </w:r>
          <w:r>
            <w:fldChar w:fldCharType="begin"/>
          </w:r>
          <w:r>
            <w:instrText xml:space="preserve"> PAGEREF _2nusc19 \h </w:instrText>
          </w:r>
          <w:r>
            <w:fldChar w:fldCharType="separate"/>
          </w:r>
          <w:r>
            <w:rPr>
              <w:noProof/>
            </w:rPr>
            <w:t>78</w:t>
          </w:r>
          <w:r>
            <w:fldChar w:fldCharType="end"/>
          </w:r>
        </w:p>
        <w:p w:rsidR="0072721E" w:rsidRDefault="007F04EE">
          <w:pPr>
            <w:tabs>
              <w:tab w:val="right" w:pos="10204"/>
            </w:tabs>
            <w:spacing w:before="200" w:after="80"/>
            <w:ind w:left="0"/>
            <w:rPr>
              <w:b/>
              <w:color w:val="000000"/>
            </w:rPr>
          </w:pPr>
          <w:hyperlink w:anchor="_ej04v6s3j5sr">
            <w:r>
              <w:rPr>
                <w:b/>
                <w:color w:val="000000"/>
              </w:rPr>
              <w:t>Annex A - SC17 OUTCOMES</w:t>
            </w:r>
          </w:hyperlink>
          <w:r>
            <w:rPr>
              <w:b/>
              <w:color w:val="000000"/>
            </w:rPr>
            <w:tab/>
          </w:r>
          <w:r>
            <w:fldChar w:fldCharType="begin"/>
          </w:r>
          <w:r>
            <w:instrText xml:space="preserve"> PAGEREF _ej04v6s3j5sr \h </w:instrText>
          </w:r>
          <w:r>
            <w:fldChar w:fldCharType="separate"/>
          </w:r>
          <w:r>
            <w:rPr>
              <w:noProof/>
            </w:rPr>
            <w:t>79</w:t>
          </w:r>
          <w:r>
            <w:fldChar w:fldCharType="end"/>
          </w:r>
          <w:r>
            <w:fldChar w:fldCharType="end"/>
          </w:r>
        </w:p>
      </w:sdtContent>
    </w:sdt>
    <w:p w:rsidR="0072721E" w:rsidRDefault="0072721E">
      <w:pPr>
        <w:rPr>
          <w:b/>
        </w:rPr>
      </w:pPr>
    </w:p>
    <w:p w:rsidR="0072721E" w:rsidRDefault="0072721E">
      <w:pPr>
        <w:rPr>
          <w:b/>
        </w:rPr>
      </w:pPr>
    </w:p>
    <w:p w:rsidR="0072721E" w:rsidRDefault="007F04EE">
      <w:pPr>
        <w:pStyle w:val="Heading1"/>
        <w:spacing w:after="200"/>
      </w:pPr>
      <w:r>
        <w:br w:type="page"/>
      </w:r>
    </w:p>
    <w:p w:rsidR="0072721E" w:rsidRDefault="007F04EE">
      <w:pPr>
        <w:pStyle w:val="Heading1"/>
        <w:spacing w:after="200"/>
      </w:pPr>
      <w:bookmarkStart w:id="1" w:name="_ahpyfc3rbmbs" w:colFirst="0" w:colLast="0"/>
      <w:bookmarkEnd w:id="1"/>
      <w:r>
        <w:t>AGENDA ITEM 1</w:t>
      </w:r>
      <w:r>
        <w:tab/>
        <w:t>OPENING OF THE MEETING</w:t>
      </w:r>
    </w:p>
    <w:p w:rsidR="0072721E" w:rsidRDefault="0072721E">
      <w:pPr>
        <w:tabs>
          <w:tab w:val="left" w:pos="6111"/>
        </w:tabs>
        <w:rPr>
          <w:sz w:val="20"/>
          <w:szCs w:val="20"/>
        </w:rPr>
      </w:pPr>
    </w:p>
    <w:p w:rsidR="0072721E" w:rsidRDefault="007F04EE">
      <w:pPr>
        <w:pBdr>
          <w:top w:val="nil"/>
          <w:left w:val="nil"/>
          <w:bottom w:val="nil"/>
          <w:right w:val="nil"/>
          <w:between w:val="nil"/>
        </w:pBdr>
        <w:ind w:left="357" w:hanging="357"/>
        <w:rPr>
          <w:i/>
          <w:sz w:val="18"/>
          <w:szCs w:val="18"/>
        </w:rPr>
      </w:pPr>
      <w:r>
        <w:rPr>
          <w:i/>
          <w:sz w:val="18"/>
          <w:szCs w:val="18"/>
        </w:rPr>
        <w:t>The Commission Chair, Ms Jung-re Riley Kim (Korea) will open the meeting on Wednesday 1stDecember 2021 (Pohnpei time) at a time to be designated</w:t>
      </w:r>
    </w:p>
    <w:p w:rsidR="0072721E" w:rsidRDefault="007F04EE">
      <w:pPr>
        <w:pStyle w:val="Heading2"/>
        <w:spacing w:after="200"/>
      </w:pPr>
      <w:bookmarkStart w:id="2" w:name="_1fob9te" w:colFirst="0" w:colLast="0"/>
      <w:bookmarkEnd w:id="2"/>
      <w:r>
        <w:t xml:space="preserve">1.1 </w:t>
      </w:r>
      <w:r>
        <w:tab/>
        <w:t>Adoption of agenda</w:t>
      </w:r>
    </w:p>
    <w:p w:rsidR="0072721E" w:rsidRDefault="007F04EE">
      <w:pPr>
        <w:pBdr>
          <w:top w:val="nil"/>
          <w:left w:val="nil"/>
          <w:bottom w:val="nil"/>
          <w:right w:val="nil"/>
          <w:between w:val="nil"/>
        </w:pBdr>
        <w:ind w:left="357" w:hanging="357"/>
        <w:rPr>
          <w:color w:val="000000"/>
        </w:rPr>
      </w:pPr>
      <w:r>
        <w:rPr>
          <w:i/>
          <w:color w:val="000000"/>
          <w:sz w:val="18"/>
          <w:szCs w:val="18"/>
        </w:rPr>
        <w:t>The Chair will present the Provisional Agenda for consideration and adoption by the Commission</w:t>
      </w:r>
    </w:p>
    <w:p w:rsidR="0072721E" w:rsidRDefault="007F04EE">
      <w:pPr>
        <w:pStyle w:val="Heading2"/>
        <w:spacing w:after="200"/>
      </w:pPr>
      <w:bookmarkStart w:id="3" w:name="_3znysh7" w:colFirst="0" w:colLast="0"/>
      <w:bookmarkEnd w:id="3"/>
      <w:r>
        <w:t xml:space="preserve">1.2 </w:t>
      </w:r>
      <w:r>
        <w:tab/>
        <w:t xml:space="preserve">Statements from Members and Participating Territories </w:t>
      </w:r>
    </w:p>
    <w:p w:rsidR="0072721E" w:rsidRDefault="007F04EE">
      <w:pPr>
        <w:pBdr>
          <w:top w:val="nil"/>
          <w:left w:val="nil"/>
          <w:bottom w:val="nil"/>
          <w:right w:val="nil"/>
          <w:between w:val="nil"/>
        </w:pBdr>
        <w:ind w:left="357" w:hanging="357"/>
        <w:rPr>
          <w:i/>
          <w:sz w:val="18"/>
          <w:szCs w:val="18"/>
        </w:rPr>
      </w:pPr>
      <w:r>
        <w:rPr>
          <w:i/>
          <w:sz w:val="18"/>
          <w:szCs w:val="18"/>
        </w:rPr>
        <w:t>The Chair will request Members and Participating Territories with prepared statements to provide copies to the Secretariat for distribution in advance of meeting and not necessarily to be read out.</w:t>
      </w:r>
    </w:p>
    <w:p w:rsidR="0072721E" w:rsidRDefault="007F04EE">
      <w:pPr>
        <w:pStyle w:val="Heading2"/>
        <w:spacing w:after="200"/>
      </w:pPr>
      <w:bookmarkStart w:id="4" w:name="_2et92p0" w:colFirst="0" w:colLast="0"/>
      <w:bookmarkEnd w:id="4"/>
      <w:r>
        <w:t xml:space="preserve">1.3 </w:t>
      </w:r>
      <w:r>
        <w:tab/>
        <w:t>Meeting arrangements</w:t>
      </w:r>
    </w:p>
    <w:p w:rsidR="0072721E" w:rsidRDefault="007F04EE">
      <w:pPr>
        <w:pBdr>
          <w:top w:val="nil"/>
          <w:left w:val="nil"/>
          <w:bottom w:val="nil"/>
          <w:right w:val="nil"/>
          <w:between w:val="nil"/>
        </w:pBdr>
        <w:ind w:left="357" w:hanging="357"/>
        <w:rPr>
          <w:color w:val="000000"/>
        </w:rPr>
      </w:pPr>
      <w:r>
        <w:rPr>
          <w:i/>
          <w:sz w:val="18"/>
          <w:szCs w:val="18"/>
        </w:rPr>
        <w:t>The Chair will explain the meeting arrangements and the meeting schedule.</w:t>
      </w:r>
    </w:p>
    <w:p w:rsidR="0072721E" w:rsidRDefault="007F04EE">
      <w:pPr>
        <w:pStyle w:val="Heading3"/>
        <w:spacing w:after="200"/>
      </w:pPr>
      <w:bookmarkStart w:id="5" w:name="_tyjcwt" w:colFirst="0" w:colLast="0"/>
      <w:bookmarkEnd w:id="5"/>
      <w:r>
        <w:t>1.3.1</w:t>
      </w:r>
      <w:r>
        <w:tab/>
        <w:t>Online meeting protocols</w:t>
      </w:r>
    </w:p>
    <w:p w:rsidR="0072721E" w:rsidRDefault="007F04EE">
      <w:pPr>
        <w:rPr>
          <w:i/>
          <w:sz w:val="18"/>
          <w:szCs w:val="18"/>
        </w:rPr>
      </w:pPr>
      <w:r>
        <w:rPr>
          <w:i/>
          <w:sz w:val="18"/>
          <w:szCs w:val="18"/>
        </w:rPr>
        <w:t>The Chairwill,with the assistance of the Secretariat,explain the key online meeting protocols.</w:t>
      </w:r>
    </w:p>
    <w:p w:rsidR="0072721E" w:rsidRDefault="007F04EE">
      <w:pPr>
        <w:pStyle w:val="Heading3"/>
        <w:spacing w:after="200"/>
      </w:pPr>
      <w:bookmarkStart w:id="6" w:name="_d5wiafnztwsl" w:colFirst="0" w:colLast="0"/>
      <w:bookmarkEnd w:id="6"/>
      <w:r>
        <w:t xml:space="preserve">1.3.1 </w:t>
      </w:r>
      <w:r>
        <w:tab/>
        <w:t>Establishment of small working groups (CNMs, CMS, Others)</w:t>
      </w:r>
    </w:p>
    <w:p w:rsidR="0072721E" w:rsidRDefault="007F04EE">
      <w:pPr>
        <w:rPr>
          <w:i/>
          <w:sz w:val="18"/>
          <w:szCs w:val="18"/>
        </w:rPr>
      </w:pPr>
      <w:r>
        <w:rPr>
          <w:i/>
          <w:sz w:val="18"/>
          <w:szCs w:val="18"/>
        </w:rPr>
        <w:t>The  Commission  will  consider  the  need  to  establish  small  working  groups  to  progress  consideration  of specific issues and report back to plenary,and their working arrangements</w:t>
      </w:r>
    </w:p>
    <w:p w:rsidR="0072721E" w:rsidRDefault="0072721E">
      <w:pPr>
        <w:pBdr>
          <w:top w:val="nil"/>
          <w:left w:val="nil"/>
          <w:bottom w:val="nil"/>
          <w:right w:val="nil"/>
          <w:between w:val="nil"/>
        </w:pBdr>
        <w:ind w:left="0"/>
        <w:rPr>
          <w:color w:val="000000"/>
          <w:highlight w:val="yellow"/>
        </w:rPr>
      </w:pPr>
    </w:p>
    <w:p w:rsidR="0072721E" w:rsidRDefault="007F04EE">
      <w:pPr>
        <w:pStyle w:val="Heading1"/>
        <w:spacing w:after="200"/>
        <w:rPr>
          <w:i/>
        </w:rPr>
      </w:pPr>
      <w:r>
        <w:t>AGENDA ITEM 2</w:t>
      </w:r>
      <w:r>
        <w:tab/>
        <w:t>ANNUAL REPORT OF THE EXECUTIVE DIRECTOR</w:t>
      </w:r>
      <w:r>
        <w:tab/>
      </w:r>
    </w:p>
    <w:p w:rsidR="0072721E" w:rsidRDefault="007F04EE">
      <w:pPr>
        <w:spacing w:before="240"/>
        <w:ind w:left="0"/>
        <w:rPr>
          <w:i/>
          <w:sz w:val="18"/>
          <w:szCs w:val="18"/>
        </w:rPr>
      </w:pPr>
      <w:r>
        <w:rPr>
          <w:i/>
          <w:sz w:val="18"/>
          <w:szCs w:val="18"/>
        </w:rPr>
        <w:t>The Executive Director’s Annual Report will be posted onto the Online Discussion Forum for exchanges of views and comments and taken as read, however, comments and questions on the report may be entertained in plenary as necessary</w:t>
      </w:r>
    </w:p>
    <w:p w:rsidR="0072721E" w:rsidRDefault="0072721E">
      <w:pPr>
        <w:ind w:left="0"/>
        <w:rPr>
          <w:highlight w:val="yellow"/>
        </w:rPr>
      </w:pPr>
    </w:p>
    <w:p w:rsidR="0072721E" w:rsidRDefault="007F04EE">
      <w:pPr>
        <w:pStyle w:val="Heading1"/>
        <w:spacing w:after="200"/>
      </w:pPr>
      <w:bookmarkStart w:id="7" w:name="_4d34og8" w:colFirst="0" w:colLast="0"/>
      <w:bookmarkEnd w:id="7"/>
      <w:r>
        <w:t>AGENDA ITEM 3</w:t>
      </w:r>
      <w:r>
        <w:tab/>
        <w:t xml:space="preserve">MEMBERSHIP AND OTHER APPLICATIONS </w:t>
      </w:r>
    </w:p>
    <w:p w:rsidR="0072721E" w:rsidRDefault="0072721E">
      <w:pPr>
        <w:ind w:left="0"/>
        <w:rPr>
          <w:b/>
          <w:sz w:val="28"/>
          <w:szCs w:val="28"/>
        </w:rPr>
      </w:pPr>
    </w:p>
    <w:tbl>
      <w:tblPr>
        <w:tblStyle w:val="a1"/>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9">
              <w:r>
                <w:rPr>
                  <w:color w:val="0000EE"/>
                  <w:u w:val="single"/>
                </w:rPr>
                <w:t>Pio Manoa</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8" w:name="_uy3fl1h0vp3j" w:colFirst="0" w:colLast="0"/>
            <w:bookmarkEnd w:id="8"/>
            <w:r>
              <w:t>3.1 Status of Convention</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New Zealand as the Depositary will provide an update on the status of the WCPFC</w:t>
            </w:r>
          </w:p>
          <w:p w:rsidR="0072721E" w:rsidRDefault="007F04EE">
            <w:pPr>
              <w:widowControl w:val="0"/>
              <w:spacing w:after="0"/>
              <w:ind w:left="0"/>
            </w:pPr>
            <w:r>
              <w:t>Convention.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hyperlink r:id="rId10">
              <w:r>
                <w:rPr>
                  <w:color w:val="1155CC"/>
                  <w:u w:val="single"/>
                </w:rPr>
                <w:t>WCPFC18-2021-05</w:t>
              </w:r>
            </w:hyperlink>
            <w:r>
              <w:rPr>
                <w:color w:val="233544"/>
              </w:rPr>
              <w:t>; WCPF Convention, article 35(2).</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Nil</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Nil</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There have been no changes to the status of the Convention since WCPFC17.</w:t>
            </w:r>
          </w:p>
          <w:p w:rsidR="0072721E" w:rsidRDefault="0072721E">
            <w:pPr>
              <w:widowControl w:val="0"/>
              <w:spacing w:after="0"/>
              <w:ind w:left="0"/>
            </w:pPr>
          </w:p>
          <w:p w:rsidR="0072721E" w:rsidRDefault="007F04EE">
            <w:pPr>
              <w:widowControl w:val="0"/>
              <w:spacing w:after="0"/>
              <w:ind w:left="0"/>
            </w:pPr>
            <w:r>
              <w:t>CNM applicants continue to indicate their interest in membership. Article 35(2) of the WCPF Convention provides that a State may become a member upon invitation and consensus of the Contracting Parties.</w:t>
            </w:r>
          </w:p>
          <w:p w:rsidR="0072721E" w:rsidRDefault="0072721E">
            <w:pPr>
              <w:widowControl w:val="0"/>
              <w:spacing w:after="0"/>
              <w:ind w:left="0"/>
            </w:pPr>
          </w:p>
          <w:p w:rsidR="0072721E" w:rsidRDefault="007F04EE">
            <w:pPr>
              <w:widowControl w:val="0"/>
              <w:spacing w:after="0"/>
              <w:ind w:left="0"/>
            </w:pPr>
            <w:r>
              <w:t>The issue of membership to the Commission is separate from the objective of this agenda item, i.e. the Depositary to report on the status of the Convention.</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Note the update provided by the Depositary.</w:t>
            </w:r>
          </w:p>
          <w:p w:rsidR="0072721E" w:rsidRDefault="0072721E">
            <w:pPr>
              <w:widowControl w:val="0"/>
              <w:spacing w:after="0"/>
              <w:ind w:left="0"/>
            </w:pPr>
          </w:p>
          <w:p w:rsidR="0072721E" w:rsidRDefault="007F04EE">
            <w:pPr>
              <w:widowControl w:val="0"/>
              <w:spacing w:after="0"/>
              <w:ind w:left="0"/>
            </w:pPr>
            <w:r>
              <w:rPr>
                <w:u w:val="single"/>
              </w:rPr>
              <w:t>If the issue of membership arises</w:t>
            </w:r>
            <w:r>
              <w:t>, request that the matter be considered in a separate agenda item.</w:t>
            </w:r>
          </w:p>
          <w:p w:rsidR="0072721E" w:rsidRDefault="0072721E">
            <w:pPr>
              <w:widowControl w:val="0"/>
              <w:spacing w:after="0"/>
              <w:ind w:left="0"/>
            </w:pPr>
          </w:p>
          <w:p w:rsidR="0072721E" w:rsidRDefault="007F04EE">
            <w:pPr>
              <w:widowControl w:val="0"/>
              <w:spacing w:after="0"/>
              <w:ind w:left="0"/>
            </w:pPr>
            <w:r>
              <w:rPr>
                <w:u w:val="single"/>
              </w:rPr>
              <w:t>If CNM membership is raised</w:t>
            </w:r>
            <w:r>
              <w:t>, indicate the need to delete the membership question in the CNM online application form.</w:t>
            </w:r>
          </w:p>
          <w:p w:rsidR="0072721E" w:rsidRDefault="0072721E">
            <w:pPr>
              <w:widowControl w:val="0"/>
              <w:spacing w:after="0"/>
              <w:ind w:left="0"/>
            </w:pPr>
          </w:p>
        </w:tc>
      </w:tr>
    </w:tbl>
    <w:p w:rsidR="0072721E" w:rsidRDefault="0072721E">
      <w:pPr>
        <w:ind w:left="0"/>
      </w:pPr>
    </w:p>
    <w:p w:rsidR="0072721E" w:rsidRDefault="007F04EE">
      <w:pPr>
        <w:ind w:left="0"/>
      </w:pPr>
      <w:r>
        <w:pict>
          <v:rect id="_x0000_i1025" style="width:0;height:1.5pt" o:hralign="center" o:hrstd="t" o:hr="t" fillcolor="#a0a0a0" stroked="f"/>
        </w:pict>
      </w:r>
    </w:p>
    <w:p w:rsidR="0072721E" w:rsidRDefault="0072721E">
      <w:pPr>
        <w:ind w:left="0"/>
      </w:pPr>
    </w:p>
    <w:tbl>
      <w:tblPr>
        <w:tblStyle w:val="a2"/>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1">
              <w:r>
                <w:rPr>
                  <w:color w:val="0000EE"/>
                  <w:u w:val="single"/>
                </w:rPr>
                <w:t>Pio Manoa</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9" w:name="_hxa70i1rwte5" w:colFirst="0" w:colLast="0"/>
            <w:bookmarkEnd w:id="9"/>
            <w:r>
              <w:t xml:space="preserve">3.2 Update on Observer status </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2">
              <w:r>
                <w:rPr>
                  <w:color w:val="1155CC"/>
                  <w:u w:val="single"/>
                </w:rPr>
                <w:t>WCPFC 18-2021-06</w:t>
              </w:r>
            </w:hyperlink>
            <w:r>
              <w:rPr>
                <w:color w:val="233544"/>
              </w:rPr>
              <w:t>; WCPFC Rules of Procedure, Rule 36.</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Accredited observers to the Commission meeting are approved in accordance with Rule 36 of the WCPFC Rules of Procedures. Observers are categorised as: (a) State observers; (b) Inter-governmental organisations; and (c) Non-governmental organisations.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United Kingdom was added to the list of observers this year in accordance with Rule 36(1)(a) of the WCPFC Rules of Procedure.</w:t>
            </w:r>
          </w:p>
          <w:p w:rsidR="0072721E" w:rsidRDefault="0072721E">
            <w:pPr>
              <w:widowControl w:val="0"/>
              <w:spacing w:after="0"/>
              <w:ind w:left="0"/>
            </w:pPr>
          </w:p>
          <w:p w:rsidR="0072721E" w:rsidRDefault="007F04EE">
            <w:pPr>
              <w:widowControl w:val="0"/>
              <w:spacing w:after="0"/>
              <w:ind w:left="0"/>
            </w:pPr>
            <w:r>
              <w:t>Since WCPFC17, one NGO (Shark Guardian) has been added to the list of observers in compliance with Rule 36(4) of the WCPFC Rules of Procedure.</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Note the updated list of observers in </w:t>
            </w:r>
            <w:r>
              <w:rPr>
                <w:color w:val="233544"/>
              </w:rPr>
              <w:t>WCPFC 18-2021-06.</w:t>
            </w:r>
          </w:p>
        </w:tc>
      </w:tr>
    </w:tbl>
    <w:p w:rsidR="0072721E" w:rsidRDefault="0072721E">
      <w:pPr>
        <w:ind w:left="0"/>
      </w:pPr>
    </w:p>
    <w:p w:rsidR="0072721E" w:rsidRDefault="007F04EE">
      <w:pPr>
        <w:ind w:left="0"/>
      </w:pPr>
      <w:r>
        <w:pict>
          <v:rect id="_x0000_i1026" style="width:0;height:1.5pt" o:hralign="center" o:hrstd="t" o:hr="t" fillcolor="#a0a0a0" stroked="f"/>
        </w:pict>
      </w:r>
    </w:p>
    <w:p w:rsidR="0072721E" w:rsidRDefault="0072721E">
      <w:pPr>
        <w:ind w:left="0"/>
      </w:pPr>
    </w:p>
    <w:tbl>
      <w:tblPr>
        <w:tblStyle w:val="a3"/>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3">
              <w:r>
                <w:rPr>
                  <w:color w:val="0000EE"/>
                  <w:u w:val="single"/>
                </w:rPr>
                <w:t>Pio Manoa</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10" w:name="_fxjz3llq3ota" w:colFirst="0" w:colLast="0"/>
            <w:bookmarkEnd w:id="10"/>
            <w:r>
              <w:t>3.3 Applications for Cooperating Non-Member (CNM) status</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t xml:space="preserve">The Commission will consider and decide on the applications for CNM status in 2022, including the recommendations from TCC17 on those applications. A small working group is expected to review the applications and report back to plenary.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hyperlink r:id="rId14">
              <w:r>
                <w:rPr>
                  <w:color w:val="1155CC"/>
                  <w:u w:val="single"/>
                </w:rPr>
                <w:t>WCPFC18-2021-07_rev1</w:t>
              </w:r>
            </w:hyperlink>
            <w:r>
              <w:rPr>
                <w:color w:val="233544"/>
              </w:rPr>
              <w:t>; CMM 2019-01 (in particular paragraphs 6, 7 and 8)</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Commission received eight applications for CNM renewal status for 2022 from: Curacao, Ecuador, El Salvador, Liberia, Nicaragua, Panama, Thailand, and VietNam. The Bahamas, an approved CNM for 2021, indicated that they would not be applying for CNM status for 2022.</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TCC17 considered the eight CNM applications for 2022 and identified the following gaps or issues for individual applicants: </w:t>
            </w:r>
          </w:p>
          <w:p w:rsidR="0072721E" w:rsidRDefault="0072721E">
            <w:pPr>
              <w:widowControl w:val="0"/>
              <w:spacing w:after="0"/>
              <w:ind w:left="0"/>
            </w:pPr>
          </w:p>
          <w:p w:rsidR="0072721E" w:rsidRDefault="007F04EE">
            <w:pPr>
              <w:widowControl w:val="0"/>
              <w:spacing w:after="0"/>
              <w:ind w:left="0"/>
            </w:pPr>
            <w:r>
              <w:t xml:space="preserve">a. </w:t>
            </w:r>
            <w:r>
              <w:rPr>
                <w:b/>
              </w:rPr>
              <w:t>Curacao</w:t>
            </w:r>
            <w:r>
              <w:t xml:space="preserve">: (1) Had not yet made a financial contribution for 2021 at the time of TCC17. (2) Not in attendance at TCC17, and reiterated the importance of the attendance of CNM applicants at meetings where its application is being considered, as outlined in CMM 2019-01. </w:t>
            </w:r>
          </w:p>
          <w:p w:rsidR="0072721E" w:rsidRDefault="0072721E">
            <w:pPr>
              <w:widowControl w:val="0"/>
              <w:spacing w:after="0"/>
              <w:ind w:left="0"/>
            </w:pPr>
          </w:p>
          <w:p w:rsidR="0072721E" w:rsidRDefault="007F04EE">
            <w:pPr>
              <w:widowControl w:val="0"/>
              <w:spacing w:after="0"/>
              <w:ind w:left="0"/>
            </w:pPr>
            <w:r>
              <w:t xml:space="preserve">b. </w:t>
            </w:r>
            <w:r>
              <w:rPr>
                <w:b/>
              </w:rPr>
              <w:t>Ecuador</w:t>
            </w:r>
            <w:r>
              <w:t xml:space="preserve">: (1) Potential compliance issues for Ecuador and encouraged Ecuador to fulfill any pending obligations in advance of WCPFC18. </w:t>
            </w:r>
          </w:p>
          <w:p w:rsidR="0072721E" w:rsidRDefault="0072721E">
            <w:pPr>
              <w:widowControl w:val="0"/>
              <w:spacing w:after="0"/>
              <w:ind w:left="0"/>
            </w:pPr>
          </w:p>
          <w:p w:rsidR="0072721E" w:rsidRDefault="007F04EE">
            <w:pPr>
              <w:widowControl w:val="0"/>
              <w:spacing w:after="0"/>
              <w:ind w:left="0"/>
            </w:pPr>
            <w:r>
              <w:t xml:space="preserve">c. </w:t>
            </w:r>
            <w:r>
              <w:rPr>
                <w:b/>
              </w:rPr>
              <w:t>El Salvador</w:t>
            </w:r>
            <w:r>
              <w:t xml:space="preserve">: (1) One potential compliance issue. </w:t>
            </w:r>
          </w:p>
          <w:p w:rsidR="0072721E" w:rsidRDefault="0072721E">
            <w:pPr>
              <w:widowControl w:val="0"/>
              <w:spacing w:after="0"/>
              <w:ind w:left="0"/>
            </w:pPr>
          </w:p>
          <w:p w:rsidR="0072721E" w:rsidRDefault="007F04EE">
            <w:pPr>
              <w:widowControl w:val="0"/>
              <w:spacing w:after="0"/>
              <w:ind w:left="0"/>
            </w:pPr>
            <w:r>
              <w:t xml:space="preserve">d. </w:t>
            </w:r>
            <w:r>
              <w:rPr>
                <w:b/>
              </w:rPr>
              <w:t>Liberia</w:t>
            </w:r>
            <w:r>
              <w:t xml:space="preserve">: (1) Not yet made its full financial contribution for 2021. (2) Noted past compliance issues for Liberia, and requested additional information on how Liberia has sought to address the compliance issues identified in the 2020 CMR in advance of WCPFC18. (3) Not in attendance at TCC17, and reiterated the importance of the attendance of CNM applicants at meetings where its application is being considered, as outlined in CMM 2019-01. </w:t>
            </w:r>
          </w:p>
          <w:p w:rsidR="0072721E" w:rsidRDefault="0072721E">
            <w:pPr>
              <w:widowControl w:val="0"/>
              <w:spacing w:after="0"/>
              <w:ind w:left="0"/>
            </w:pPr>
          </w:p>
          <w:p w:rsidR="0072721E" w:rsidRDefault="007F04EE">
            <w:pPr>
              <w:widowControl w:val="0"/>
              <w:spacing w:after="0"/>
              <w:ind w:left="0"/>
            </w:pPr>
            <w:r>
              <w:t xml:space="preserve">e. </w:t>
            </w:r>
            <w:r>
              <w:rPr>
                <w:b/>
              </w:rPr>
              <w:t>Nicaragua</w:t>
            </w:r>
            <w:r>
              <w:t xml:space="preserve">: (1) Noted past compliance issues for Nicaragua, and requested additional information on how Nicaragua has sought to address the compliance issues identified in the 2020 CMR in advance of WCPFC18. (2) Noted that Nicaragua was not in attendance at TCC17, and reiterated the importance of the attendance of CNM applicants at meetings where its application is being considered, as outlined in CMM 2019-01. </w:t>
            </w:r>
          </w:p>
          <w:p w:rsidR="0072721E" w:rsidRDefault="0072721E">
            <w:pPr>
              <w:widowControl w:val="0"/>
              <w:spacing w:after="0"/>
              <w:ind w:left="0"/>
            </w:pPr>
          </w:p>
          <w:p w:rsidR="0072721E" w:rsidRDefault="007F04EE">
            <w:pPr>
              <w:widowControl w:val="0"/>
              <w:spacing w:after="0"/>
              <w:ind w:left="0"/>
            </w:pPr>
            <w:r>
              <w:t xml:space="preserve">f. </w:t>
            </w:r>
            <w:r>
              <w:rPr>
                <w:b/>
              </w:rPr>
              <w:t>Panama</w:t>
            </w:r>
            <w:r>
              <w:t>: (1) Noted past compliance issues for Panama and highlighted that Panama has been encouraged to continue to make improvements to the management of its vessels, both in the WCPFC and in other RFMOs.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Based on the findings of TCC17, and correspondence provided since, the following key points are noteworthy:</w:t>
            </w:r>
          </w:p>
          <w:p w:rsidR="0072721E" w:rsidRDefault="0072721E">
            <w:pPr>
              <w:widowControl w:val="0"/>
              <w:spacing w:after="0"/>
              <w:ind w:left="0"/>
            </w:pPr>
          </w:p>
          <w:p w:rsidR="0072721E" w:rsidRDefault="007F04EE">
            <w:pPr>
              <w:widowControl w:val="0"/>
              <w:spacing w:after="0"/>
              <w:ind w:left="0"/>
            </w:pPr>
            <w:r>
              <w:t xml:space="preserve">(1) </w:t>
            </w:r>
            <w:r>
              <w:rPr>
                <w:b/>
              </w:rPr>
              <w:t>Thailand</w:t>
            </w:r>
            <w:r>
              <w:t xml:space="preserve"> has satisfied all criteria for CNM renewal and such renewal is in order;</w:t>
            </w:r>
          </w:p>
          <w:p w:rsidR="0072721E" w:rsidRDefault="0072721E">
            <w:pPr>
              <w:widowControl w:val="0"/>
              <w:spacing w:after="0"/>
              <w:ind w:left="0"/>
            </w:pPr>
          </w:p>
          <w:p w:rsidR="0072721E" w:rsidRDefault="007F04EE">
            <w:pPr>
              <w:widowControl w:val="0"/>
              <w:spacing w:after="0"/>
              <w:ind w:left="0"/>
            </w:pPr>
            <w:r>
              <w:t xml:space="preserve">(2) </w:t>
            </w:r>
            <w:r>
              <w:rPr>
                <w:b/>
              </w:rPr>
              <w:t>Viet Nam</w:t>
            </w:r>
            <w:r>
              <w:t xml:space="preserve"> has satisfied all criteria for CNM renewal and such renewal is in order;</w:t>
            </w:r>
          </w:p>
          <w:p w:rsidR="0072721E" w:rsidRDefault="0072721E">
            <w:pPr>
              <w:widowControl w:val="0"/>
              <w:spacing w:after="0"/>
              <w:ind w:left="0"/>
            </w:pPr>
          </w:p>
          <w:p w:rsidR="0072721E" w:rsidRDefault="007F04EE">
            <w:pPr>
              <w:widowControl w:val="0"/>
              <w:spacing w:after="0"/>
              <w:ind w:left="0"/>
            </w:pPr>
            <w:r>
              <w:t xml:space="preserve">(3) </w:t>
            </w:r>
            <w:r>
              <w:rPr>
                <w:b/>
              </w:rPr>
              <w:t>Curacao</w:t>
            </w:r>
            <w:r>
              <w:t xml:space="preserve"> has paid its contribution for 2021 and has provided an explanation on 18 October that due to the COVID-19 infection of staff or next of kin they could not attend TCC17;</w:t>
            </w:r>
          </w:p>
          <w:p w:rsidR="0072721E" w:rsidRDefault="0072721E">
            <w:pPr>
              <w:widowControl w:val="0"/>
              <w:spacing w:after="0"/>
              <w:ind w:left="0"/>
            </w:pPr>
          </w:p>
          <w:p w:rsidR="0072721E" w:rsidRDefault="007F04EE">
            <w:pPr>
              <w:widowControl w:val="0"/>
              <w:spacing w:after="0"/>
              <w:ind w:left="0"/>
            </w:pPr>
            <w:r>
              <w:t xml:space="preserve">(4) </w:t>
            </w:r>
            <w:r>
              <w:rPr>
                <w:b/>
              </w:rPr>
              <w:t>Ecuador</w:t>
            </w:r>
            <w:r>
              <w:t>, in relation to potential compliance issues, has advised on 20 October that it has provided a revised “Fish/No fish” format on its vessels;</w:t>
            </w:r>
          </w:p>
          <w:p w:rsidR="0072721E" w:rsidRDefault="0072721E">
            <w:pPr>
              <w:widowControl w:val="0"/>
              <w:spacing w:after="0"/>
              <w:ind w:left="0"/>
            </w:pPr>
          </w:p>
          <w:p w:rsidR="0072721E" w:rsidRDefault="007F04EE">
            <w:pPr>
              <w:widowControl w:val="0"/>
              <w:spacing w:after="0"/>
              <w:ind w:left="0"/>
            </w:pPr>
            <w:r>
              <w:t xml:space="preserve">(5) </w:t>
            </w:r>
            <w:r>
              <w:rPr>
                <w:b/>
              </w:rPr>
              <w:t>El Salvador</w:t>
            </w:r>
            <w:r>
              <w:t>, in relation to one compliance issue, has advised on 15 October that it has investigated the matter and has taken action in accordance with its national law, and will provide an update to WCPFC18;</w:t>
            </w:r>
          </w:p>
          <w:p w:rsidR="0072721E" w:rsidRDefault="0072721E">
            <w:pPr>
              <w:widowControl w:val="0"/>
              <w:spacing w:after="0"/>
              <w:ind w:left="0"/>
            </w:pPr>
          </w:p>
          <w:p w:rsidR="0072721E" w:rsidRDefault="007F04EE">
            <w:pPr>
              <w:widowControl w:val="0"/>
              <w:spacing w:after="0"/>
              <w:ind w:left="0"/>
            </w:pPr>
            <w:r>
              <w:t xml:space="preserve">(6) </w:t>
            </w:r>
            <w:r>
              <w:rPr>
                <w:b/>
              </w:rPr>
              <w:t>Liberia</w:t>
            </w:r>
            <w:r>
              <w:t xml:space="preserve"> has three issues to address - payment of contribution, compliance issues in 2020 CMR, and non-attendance;</w:t>
            </w:r>
          </w:p>
          <w:p w:rsidR="0072721E" w:rsidRDefault="0072721E">
            <w:pPr>
              <w:widowControl w:val="0"/>
              <w:spacing w:after="0"/>
              <w:ind w:left="0"/>
            </w:pPr>
          </w:p>
          <w:p w:rsidR="0072721E" w:rsidRDefault="007F04EE">
            <w:pPr>
              <w:widowControl w:val="0"/>
              <w:spacing w:after="0"/>
              <w:ind w:left="0"/>
            </w:pPr>
            <w:r>
              <w:t xml:space="preserve">(7) </w:t>
            </w:r>
            <w:r>
              <w:rPr>
                <w:b/>
              </w:rPr>
              <w:t>Nicaragua</w:t>
            </w:r>
            <w:r>
              <w:t xml:space="preserve"> needs to provide additional information on compliance issues identified in 2020 CMR, and respond to its non-attendance;</w:t>
            </w:r>
          </w:p>
          <w:p w:rsidR="0072721E" w:rsidRDefault="0072721E">
            <w:pPr>
              <w:widowControl w:val="0"/>
              <w:spacing w:after="0"/>
              <w:ind w:left="0"/>
            </w:pPr>
          </w:p>
          <w:p w:rsidR="0072721E" w:rsidRDefault="007F04EE">
            <w:pPr>
              <w:widowControl w:val="0"/>
              <w:spacing w:after="0"/>
              <w:ind w:left="0"/>
            </w:pPr>
            <w:r>
              <w:t xml:space="preserve">(8) </w:t>
            </w:r>
            <w:r>
              <w:rPr>
                <w:b/>
              </w:rPr>
              <w:t>Panama</w:t>
            </w:r>
            <w:r>
              <w:t xml:space="preserve"> - past compliance issues remain and Panama needs to continue to advise on improvements to the management of its vessels.</w:t>
            </w:r>
          </w:p>
          <w:p w:rsidR="0072721E" w:rsidRDefault="0072721E">
            <w:pPr>
              <w:widowControl w:val="0"/>
              <w:spacing w:after="0"/>
              <w:ind w:left="0"/>
            </w:pP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CNM renewal of Thailand and Vietnam, and, subject to the provision of satisfactory information on the issues raised, renewal of other applicants.</w:t>
            </w:r>
          </w:p>
        </w:tc>
      </w:tr>
    </w:tbl>
    <w:p w:rsidR="0072721E" w:rsidRDefault="0072721E">
      <w:pPr>
        <w:ind w:left="0"/>
      </w:pPr>
    </w:p>
    <w:p w:rsidR="0072721E" w:rsidRDefault="007F04EE">
      <w:pPr>
        <w:ind w:left="0"/>
      </w:pPr>
      <w:r>
        <w:pict>
          <v:rect id="_x0000_i1027" style="width:0;height:1.5pt" o:hralign="center" o:hrstd="t" o:hr="t" fillcolor="#a0a0a0" stroked="f"/>
        </w:pict>
      </w:r>
    </w:p>
    <w:p w:rsidR="0072721E" w:rsidRDefault="0072721E">
      <w:pPr>
        <w:ind w:left="0"/>
      </w:pPr>
    </w:p>
    <w:tbl>
      <w:tblPr>
        <w:tblStyle w:val="a4"/>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5">
              <w:r>
                <w:rPr>
                  <w:color w:val="0000EE"/>
                  <w:u w:val="single"/>
                </w:rPr>
                <w:t>Pio Manoa</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11" w:name="_graon9uzda8h" w:colFirst="0" w:colLast="0"/>
            <w:bookmarkEnd w:id="11"/>
            <w:r>
              <w:t xml:space="preserve">3.3.1 </w:t>
            </w:r>
            <w:r>
              <w:rPr>
                <w:sz w:val="24"/>
                <w:szCs w:val="24"/>
              </w:rPr>
              <w:t xml:space="preserve">Participatory rights of CNMs </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rPr>
                <w:sz w:val="24"/>
                <w:szCs w:val="24"/>
              </w:rPr>
              <w:t>In accordance with paragraphs 12 and 13 of CMM 2019-01, the Commission will review the limits of participatory rights of CNMs under the various CMMs</w:t>
            </w:r>
            <w:r>
              <w: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CMM 2019-01 (in particular paragraphs 12 and 13)</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CNM small working group will be convened to prepare draft decisions points for consideration by WCPFC18 and as may be relevant to any reviews of CNM participatory rights.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CMM 2019-01 paragraphs 12 and 13 are relevant in the consideration of participatory rights:</w:t>
            </w:r>
          </w:p>
          <w:p w:rsidR="0072721E" w:rsidRDefault="0072721E">
            <w:pPr>
              <w:widowControl w:val="0"/>
              <w:spacing w:after="0"/>
              <w:ind w:left="0"/>
            </w:pPr>
          </w:p>
          <w:p w:rsidR="0072721E" w:rsidRDefault="007F04EE">
            <w:pPr>
              <w:widowControl w:val="0"/>
              <w:spacing w:after="0"/>
              <w:ind w:left="0"/>
              <w:rPr>
                <w:i/>
              </w:rPr>
            </w:pPr>
            <w:r>
              <w:t>‘</w:t>
            </w:r>
            <w:r>
              <w:rPr>
                <w:i/>
              </w:rPr>
              <w:t xml:space="preserve">12. Without prejudice to the sovereign rights of coastal States for the purpose of exploring and exploiting, conserving and managing highly migratory fish stocks within areas under national jurisdiction, and following the granting of CNM status, the Commission shall, where necessary, determine how the participatory rights of CNMs will be limited by the conservation and management measures adopted by the Commission. …..’ </w:t>
            </w:r>
          </w:p>
          <w:p w:rsidR="0072721E" w:rsidRDefault="0072721E">
            <w:pPr>
              <w:widowControl w:val="0"/>
              <w:spacing w:after="0"/>
              <w:ind w:left="0"/>
              <w:rPr>
                <w:i/>
              </w:rPr>
            </w:pPr>
          </w:p>
          <w:p w:rsidR="0072721E" w:rsidRDefault="007F04EE">
            <w:pPr>
              <w:widowControl w:val="0"/>
              <w:spacing w:after="0"/>
              <w:ind w:left="0"/>
            </w:pPr>
            <w:r>
              <w:rPr>
                <w:i/>
              </w:rPr>
              <w:t>‘13. The limits determined for CNMs under paragraph 12 may be reviewed by the Commission from time to time in accordance with this measure and other conservation and management measures adopted by the Commission.</w:t>
            </w:r>
            <w:r>
              <w: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Based on past practice, the participatory rights for an approved CNM remain the same from one year to the next.</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CNM small working group to consider the following participatory rights based on the decision of WCPFC17, and revise as appropriate. </w:t>
            </w:r>
          </w:p>
          <w:p w:rsidR="0072721E" w:rsidRDefault="0072721E">
            <w:pPr>
              <w:widowControl w:val="0"/>
              <w:spacing w:after="0"/>
              <w:ind w:left="0"/>
            </w:pPr>
          </w:p>
          <w:p w:rsidR="0072721E" w:rsidRDefault="007F04EE">
            <w:pPr>
              <w:widowControl w:val="0"/>
              <w:spacing w:after="0"/>
              <w:ind w:left="0"/>
            </w:pPr>
            <w:r>
              <w:t>For reference, the CNM Participatory rights approved by WCPFC17 for the eight applicants are as follows:</w:t>
            </w:r>
          </w:p>
          <w:p w:rsidR="0072721E" w:rsidRDefault="007F04EE">
            <w:pPr>
              <w:widowControl w:val="0"/>
              <w:spacing w:after="0" w:line="276" w:lineRule="auto"/>
              <w:ind w:left="0"/>
            </w:pPr>
            <w:r>
              <w:t xml:space="preserve">  </w:t>
            </w:r>
          </w:p>
          <w:p w:rsidR="0072721E" w:rsidRDefault="007F04EE">
            <w:pPr>
              <w:widowControl w:val="0"/>
              <w:spacing w:after="0" w:line="276" w:lineRule="auto"/>
              <w:ind w:left="0"/>
            </w:pPr>
            <w:r>
              <w:rPr>
                <w:b/>
              </w:rPr>
              <w:t xml:space="preserve">63. Curaçao: </w:t>
            </w:r>
            <w:r>
              <w:t>The participatory rights of Curaçao are limited to carrier vessels to engage in transhipment activities in the Convention area.</w:t>
            </w:r>
          </w:p>
          <w:p w:rsidR="0072721E" w:rsidRDefault="007F04EE">
            <w:pPr>
              <w:widowControl w:val="0"/>
              <w:spacing w:after="0" w:line="276" w:lineRule="auto"/>
              <w:ind w:left="0"/>
            </w:pPr>
            <w:r>
              <w:t xml:space="preserve"> </w:t>
            </w:r>
          </w:p>
          <w:p w:rsidR="0072721E" w:rsidRDefault="007F04EE">
            <w:pPr>
              <w:widowControl w:val="0"/>
              <w:spacing w:after="0" w:line="276" w:lineRule="auto"/>
              <w:ind w:left="0"/>
            </w:pPr>
            <w:r>
              <w:rPr>
                <w:b/>
              </w:rPr>
              <w:t xml:space="preserve">64. Ecuador: </w:t>
            </w:r>
            <w:r>
              <w:t>The participatory rights of Ecuador for fishing in the WCPO are limited to purse seine fishing, with no participatory rights for fishing on the high seas for highly migratory fish stocks in the Convention Area. Any introduction of purse seine fishing capacity is to be in accordance with paragraph 12 of CMM 2019-01 and CMM 2018-01 or its replacement measure.</w:t>
            </w:r>
          </w:p>
          <w:p w:rsidR="0072721E" w:rsidRDefault="007F04EE">
            <w:pPr>
              <w:widowControl w:val="0"/>
              <w:spacing w:after="0" w:line="276" w:lineRule="auto"/>
              <w:ind w:left="0"/>
            </w:pPr>
            <w:r>
              <w:t xml:space="preserve"> </w:t>
            </w:r>
          </w:p>
          <w:p w:rsidR="0072721E" w:rsidRDefault="007F04EE">
            <w:pPr>
              <w:widowControl w:val="0"/>
              <w:spacing w:after="0" w:line="276" w:lineRule="auto"/>
              <w:ind w:left="0"/>
            </w:pPr>
            <w:r>
              <w:rPr>
                <w:b/>
              </w:rPr>
              <w:t xml:space="preserve">65. El Salvador: </w:t>
            </w:r>
            <w:r>
              <w:t>The participatory rights of El Salvador for fishing in the WCPO are limited to purse seine fishing only. The total level of effort by purse seine vessels of El Salvador on the high seas shall not exceed 29 days in the Convention Area. Any introduction of purse seine fishing capacity is to be in accordance with paragraph 12 of CMM 2019-01 and CMM 2018-01 or its replacement measure.</w:t>
            </w:r>
          </w:p>
          <w:p w:rsidR="0072721E" w:rsidRDefault="007F04EE">
            <w:pPr>
              <w:widowControl w:val="0"/>
              <w:spacing w:after="0" w:line="276" w:lineRule="auto"/>
              <w:ind w:left="0"/>
            </w:pPr>
            <w:r>
              <w:t xml:space="preserve"> </w:t>
            </w:r>
          </w:p>
          <w:p w:rsidR="0072721E" w:rsidRDefault="007F04EE">
            <w:pPr>
              <w:widowControl w:val="0"/>
              <w:spacing w:after="0" w:line="276" w:lineRule="auto"/>
              <w:ind w:left="0"/>
            </w:pPr>
            <w:r>
              <w:rPr>
                <w:b/>
              </w:rPr>
              <w:t xml:space="preserve">66. Liberia: </w:t>
            </w:r>
            <w:r>
              <w:t>The participatory rights of Liberia are limited to carrier vessels to engage in</w:t>
            </w:r>
          </w:p>
          <w:p w:rsidR="0072721E" w:rsidRDefault="007F04EE">
            <w:pPr>
              <w:widowControl w:val="0"/>
              <w:spacing w:after="0" w:line="276" w:lineRule="auto"/>
              <w:ind w:left="0"/>
            </w:pPr>
            <w:r>
              <w:t>transhipment activities in the Convention area.</w:t>
            </w:r>
          </w:p>
          <w:p w:rsidR="0072721E" w:rsidRDefault="007F04EE">
            <w:pPr>
              <w:widowControl w:val="0"/>
              <w:spacing w:after="0" w:line="276" w:lineRule="auto"/>
              <w:ind w:left="0"/>
            </w:pPr>
            <w:r>
              <w:t xml:space="preserve"> </w:t>
            </w:r>
          </w:p>
          <w:p w:rsidR="0072721E" w:rsidRDefault="007F04EE">
            <w:pPr>
              <w:widowControl w:val="0"/>
              <w:spacing w:after="0" w:line="276" w:lineRule="auto"/>
              <w:ind w:left="0"/>
            </w:pPr>
            <w:r>
              <w:rPr>
                <w:b/>
              </w:rPr>
              <w:t xml:space="preserve">67. Nicaragua: </w:t>
            </w:r>
            <w:r>
              <w:t>The participatory rights of Nicaragua are limited to purse seine fishing for one vessel, with no participatory rights for fishing on the high seas for highly migratory fish stocks in the Convention Area. Any introduction of fishing capacity is to be in accordance with paragraph 12 of CMM 2019-01 and CMM 2018-01 or its replacement measure.</w:t>
            </w:r>
          </w:p>
          <w:p w:rsidR="0072721E" w:rsidRDefault="007F04EE">
            <w:pPr>
              <w:widowControl w:val="0"/>
              <w:spacing w:after="0" w:line="276" w:lineRule="auto"/>
              <w:ind w:left="0"/>
            </w:pPr>
            <w:r>
              <w:t xml:space="preserve"> </w:t>
            </w:r>
          </w:p>
          <w:p w:rsidR="0072721E" w:rsidRDefault="007F04EE">
            <w:pPr>
              <w:widowControl w:val="0"/>
              <w:spacing w:after="0" w:line="276" w:lineRule="auto"/>
              <w:ind w:left="0"/>
            </w:pPr>
            <w:r>
              <w:rPr>
                <w:b/>
              </w:rPr>
              <w:t xml:space="preserve">68. Panama: </w:t>
            </w:r>
            <w:r>
              <w:t>The participatory rights of Panama in the WCPO are limited to the provision of carrier and bunker vessels. Panama’s participatory rights also apply to vessels that supply food, water and spare parts to carrier vessels that engage in transhipment activities, provided that these vessels do not engage in activities supporting fishing vessels, including providing and/or servicing FADs.</w:t>
            </w:r>
          </w:p>
          <w:p w:rsidR="0072721E" w:rsidRDefault="0072721E">
            <w:pPr>
              <w:widowControl w:val="0"/>
              <w:spacing w:after="0" w:line="276" w:lineRule="auto"/>
              <w:ind w:left="0"/>
            </w:pPr>
          </w:p>
          <w:p w:rsidR="0072721E" w:rsidRDefault="007F04EE">
            <w:pPr>
              <w:widowControl w:val="0"/>
              <w:spacing w:after="0" w:line="276" w:lineRule="auto"/>
              <w:ind w:left="0"/>
            </w:pPr>
            <w:r>
              <w:rPr>
                <w:b/>
              </w:rPr>
              <w:t xml:space="preserve">69. Thailand: </w:t>
            </w:r>
            <w:r>
              <w:t>The participatory rights of Thailand in the WCPO are limited to the provision of carrier and bunker vessels only.</w:t>
            </w:r>
          </w:p>
          <w:p w:rsidR="0072721E" w:rsidRDefault="007F04EE">
            <w:pPr>
              <w:widowControl w:val="0"/>
              <w:spacing w:after="0" w:line="276" w:lineRule="auto"/>
              <w:ind w:left="0"/>
            </w:pPr>
            <w:r>
              <w:t xml:space="preserve"> </w:t>
            </w:r>
          </w:p>
          <w:p w:rsidR="0072721E" w:rsidRDefault="007F04EE">
            <w:pPr>
              <w:widowControl w:val="0"/>
              <w:spacing w:after="0" w:line="276" w:lineRule="auto"/>
              <w:ind w:left="0"/>
            </w:pPr>
            <w:r>
              <w:rPr>
                <w:b/>
              </w:rPr>
              <w:t xml:space="preserve">70. Vietnam: </w:t>
            </w:r>
            <w:r>
              <w:t>The participatory rights of Vietnam in the WCPO are limited to the provision of carrier and bunker vessels only.</w:t>
            </w:r>
          </w:p>
          <w:p w:rsidR="0072721E" w:rsidRDefault="0072721E">
            <w:pPr>
              <w:widowControl w:val="0"/>
              <w:spacing w:after="0"/>
              <w:ind w:left="0"/>
            </w:pPr>
          </w:p>
        </w:tc>
      </w:tr>
    </w:tbl>
    <w:p w:rsidR="0072721E" w:rsidRDefault="0072721E">
      <w:pPr>
        <w:ind w:left="0"/>
      </w:pPr>
    </w:p>
    <w:p w:rsidR="0072721E" w:rsidRDefault="0072721E">
      <w:pPr>
        <w:ind w:left="0"/>
        <w:rPr>
          <w:i/>
          <w:sz w:val="18"/>
          <w:szCs w:val="18"/>
        </w:rPr>
      </w:pPr>
    </w:p>
    <w:p w:rsidR="0072721E" w:rsidRDefault="0072721E">
      <w:pPr>
        <w:pStyle w:val="Heading1"/>
        <w:spacing w:after="200"/>
      </w:pPr>
      <w:bookmarkStart w:id="12" w:name="_2onw1byp7d8" w:colFirst="0" w:colLast="0"/>
      <w:bookmarkEnd w:id="12"/>
    </w:p>
    <w:p w:rsidR="0072721E" w:rsidRDefault="007F04EE">
      <w:pPr>
        <w:pStyle w:val="Heading1"/>
        <w:spacing w:after="200"/>
      </w:pPr>
      <w:bookmarkStart w:id="13" w:name="_ulso0q2rc0kt" w:colFirst="0" w:colLast="0"/>
      <w:bookmarkEnd w:id="13"/>
      <w:r>
        <w:t>AGENDA ITEM 4</w:t>
      </w:r>
      <w:r>
        <w:tab/>
        <w:t>NEW PROPOSALS</w:t>
      </w:r>
    </w:p>
    <w:p w:rsidR="0072721E" w:rsidRDefault="007F04EE">
      <w:pPr>
        <w:pBdr>
          <w:top w:val="nil"/>
          <w:left w:val="nil"/>
          <w:bottom w:val="nil"/>
          <w:right w:val="nil"/>
          <w:between w:val="nil"/>
        </w:pBdr>
        <w:ind w:left="357" w:hanging="357"/>
        <w:rPr>
          <w:i/>
          <w:sz w:val="18"/>
          <w:szCs w:val="18"/>
        </w:rPr>
      </w:pPr>
      <w:r>
        <w:rPr>
          <w:i/>
          <w:sz w:val="18"/>
          <w:szCs w:val="18"/>
        </w:rPr>
        <w:t>Mindful  of  the  constraints  of  online  meeting,  Members  with  new  proposals  will  be  invited  to  briefly introduce their proposals. The Commission is expected to consider how to progress the discussions of those proposals during the meeting</w:t>
      </w:r>
    </w:p>
    <w:p w:rsidR="0072721E" w:rsidRDefault="0072721E">
      <w:pPr>
        <w:spacing w:after="0"/>
        <w:ind w:left="0"/>
        <w:jc w:val="left"/>
        <w:rPr>
          <w:sz w:val="20"/>
          <w:szCs w:val="20"/>
        </w:rPr>
      </w:pPr>
    </w:p>
    <w:tbl>
      <w:tblPr>
        <w:tblStyle w:val="a5"/>
        <w:tblW w:w="10305" w:type="dxa"/>
        <w:tblInd w:w="-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5"/>
        <w:gridCol w:w="1275"/>
        <w:gridCol w:w="3675"/>
        <w:gridCol w:w="3090"/>
      </w:tblGrid>
      <w:tr w:rsidR="0072721E">
        <w:trPr>
          <w:trHeight w:val="200"/>
        </w:trPr>
        <w:tc>
          <w:tcPr>
            <w:tcW w:w="2265" w:type="dxa"/>
            <w:tcBorders>
              <w:top w:val="single" w:sz="6" w:space="0" w:color="000000"/>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72721E" w:rsidRDefault="007F04EE">
            <w:pPr>
              <w:widowControl w:val="0"/>
              <w:spacing w:line="276" w:lineRule="auto"/>
              <w:ind w:left="0"/>
              <w:jc w:val="center"/>
              <w:rPr>
                <w:b/>
                <w:sz w:val="24"/>
                <w:szCs w:val="24"/>
              </w:rPr>
            </w:pPr>
            <w:r>
              <w:rPr>
                <w:b/>
                <w:sz w:val="24"/>
                <w:szCs w:val="24"/>
              </w:rPr>
              <w:t>Paper Number</w:t>
            </w:r>
          </w:p>
        </w:tc>
        <w:tc>
          <w:tcPr>
            <w:tcW w:w="1275" w:type="dxa"/>
            <w:tcBorders>
              <w:top w:val="single" w:sz="6" w:space="0" w:color="000000"/>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72721E" w:rsidRDefault="007F04EE">
            <w:pPr>
              <w:widowControl w:val="0"/>
              <w:spacing w:line="276" w:lineRule="auto"/>
              <w:ind w:left="0"/>
              <w:jc w:val="center"/>
              <w:rPr>
                <w:b/>
                <w:sz w:val="24"/>
                <w:szCs w:val="24"/>
              </w:rPr>
            </w:pPr>
            <w:r>
              <w:rPr>
                <w:b/>
                <w:sz w:val="24"/>
                <w:szCs w:val="24"/>
              </w:rPr>
              <w:t>CCM</w:t>
            </w:r>
          </w:p>
        </w:tc>
        <w:tc>
          <w:tcPr>
            <w:tcW w:w="3675" w:type="dxa"/>
            <w:tcBorders>
              <w:top w:val="single" w:sz="6" w:space="0" w:color="000000"/>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72721E" w:rsidRDefault="007F04EE">
            <w:pPr>
              <w:widowControl w:val="0"/>
              <w:spacing w:line="276" w:lineRule="auto"/>
              <w:ind w:left="0"/>
              <w:jc w:val="center"/>
              <w:rPr>
                <w:b/>
                <w:sz w:val="24"/>
                <w:szCs w:val="24"/>
              </w:rPr>
            </w:pPr>
            <w:r>
              <w:rPr>
                <w:b/>
                <w:sz w:val="24"/>
                <w:szCs w:val="24"/>
              </w:rPr>
              <w:t>Title</w:t>
            </w:r>
          </w:p>
        </w:tc>
        <w:tc>
          <w:tcPr>
            <w:tcW w:w="3090" w:type="dxa"/>
            <w:tcBorders>
              <w:top w:val="single" w:sz="6" w:space="0" w:color="000000"/>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72721E" w:rsidRDefault="007F04EE">
            <w:pPr>
              <w:widowControl w:val="0"/>
              <w:spacing w:line="276" w:lineRule="auto"/>
              <w:ind w:left="0"/>
              <w:jc w:val="center"/>
              <w:rPr>
                <w:b/>
                <w:sz w:val="24"/>
                <w:szCs w:val="24"/>
              </w:rPr>
            </w:pPr>
            <w:r>
              <w:rPr>
                <w:b/>
                <w:sz w:val="24"/>
                <w:szCs w:val="24"/>
              </w:rPr>
              <w:t>Notes</w:t>
            </w:r>
          </w:p>
        </w:tc>
      </w:tr>
      <w:tr w:rsidR="0072721E">
        <w:trPr>
          <w:trHeight w:val="200"/>
        </w:trPr>
        <w:tc>
          <w:tcPr>
            <w:tcW w:w="22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WCPFC18-2021-DP01</w:t>
            </w:r>
          </w:p>
        </w:tc>
        <w:tc>
          <w:tcPr>
            <w:tcW w:w="12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USA</w:t>
            </w:r>
          </w:p>
        </w:tc>
        <w:tc>
          <w:tcPr>
            <w:tcW w:w="36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Proposed revisions to the Conservation and Management Measure for Sharks</w:t>
            </w:r>
          </w:p>
        </w:tc>
        <w:tc>
          <w:tcPr>
            <w:tcW w:w="30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hyperlink r:id="rId16">
              <w:r>
                <w:rPr>
                  <w:color w:val="1155CC"/>
                  <w:u w:val="single"/>
                </w:rPr>
                <w:t>https://meetings.wcpfc.int/file/9968/download</w:t>
              </w:r>
            </w:hyperlink>
          </w:p>
          <w:p w:rsidR="0072721E" w:rsidRDefault="0072721E">
            <w:pPr>
              <w:widowControl w:val="0"/>
              <w:spacing w:line="276" w:lineRule="auto"/>
              <w:ind w:left="0"/>
              <w:jc w:val="left"/>
            </w:pPr>
          </w:p>
        </w:tc>
      </w:tr>
      <w:tr w:rsidR="0072721E">
        <w:trPr>
          <w:trHeight w:val="540"/>
        </w:trPr>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72721E" w:rsidRDefault="007F04EE">
            <w:pPr>
              <w:widowControl w:val="0"/>
              <w:spacing w:line="276" w:lineRule="auto"/>
              <w:ind w:left="0"/>
              <w:jc w:val="left"/>
            </w:pPr>
            <w:r>
              <w:t>WCPFC18-2021-DP02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72721E" w:rsidRDefault="007F04EE">
            <w:pPr>
              <w:widowControl w:val="0"/>
              <w:spacing w:line="276" w:lineRule="auto"/>
              <w:ind w:left="0"/>
              <w:jc w:val="left"/>
            </w:pPr>
            <w:r>
              <w:t>Japan</w:t>
            </w:r>
          </w:p>
        </w:tc>
        <w:tc>
          <w:tcPr>
            <w:tcW w:w="36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Proposed amendment to the current CMM 2019-08 for Charter Notification Scheme</w:t>
            </w:r>
          </w:p>
        </w:tc>
        <w:tc>
          <w:tcPr>
            <w:tcW w:w="30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hyperlink r:id="rId17">
              <w:r>
                <w:rPr>
                  <w:color w:val="1155CC"/>
                  <w:u w:val="single"/>
                </w:rPr>
                <w:t>https://meetings.wcpfc.int/file/9969/download</w:t>
              </w:r>
            </w:hyperlink>
          </w:p>
          <w:p w:rsidR="0072721E" w:rsidRDefault="0072721E">
            <w:pPr>
              <w:widowControl w:val="0"/>
              <w:spacing w:line="276" w:lineRule="auto"/>
              <w:ind w:left="0"/>
              <w:jc w:val="left"/>
            </w:pPr>
          </w:p>
        </w:tc>
      </w:tr>
      <w:tr w:rsidR="0072721E">
        <w:trPr>
          <w:trHeight w:val="200"/>
        </w:trPr>
        <w:tc>
          <w:tcPr>
            <w:tcW w:w="22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WCPFC18-2021-DP03</w:t>
            </w:r>
          </w:p>
        </w:tc>
        <w:tc>
          <w:tcPr>
            <w:tcW w:w="12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EU, Japan; Chinese Taipei</w:t>
            </w:r>
          </w:p>
        </w:tc>
        <w:tc>
          <w:tcPr>
            <w:tcW w:w="36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Proposal for amending CMM 2019-07 (WCPFC IUU VESSEL LIST)</w:t>
            </w:r>
          </w:p>
        </w:tc>
        <w:tc>
          <w:tcPr>
            <w:tcW w:w="30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hyperlink r:id="rId18">
              <w:r>
                <w:rPr>
                  <w:color w:val="1155CC"/>
                  <w:u w:val="single"/>
                </w:rPr>
                <w:t>https://meetings.wcpfc.int/file/9970/download</w:t>
              </w:r>
            </w:hyperlink>
          </w:p>
          <w:p w:rsidR="0072721E" w:rsidRDefault="0072721E">
            <w:pPr>
              <w:widowControl w:val="0"/>
              <w:spacing w:line="276" w:lineRule="auto"/>
              <w:ind w:left="0"/>
              <w:jc w:val="left"/>
            </w:pPr>
          </w:p>
        </w:tc>
      </w:tr>
      <w:tr w:rsidR="0072721E">
        <w:trPr>
          <w:trHeight w:val="200"/>
        </w:trPr>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72721E" w:rsidRDefault="007F04EE">
            <w:pPr>
              <w:widowControl w:val="0"/>
              <w:spacing w:line="276" w:lineRule="auto"/>
              <w:ind w:left="0"/>
              <w:jc w:val="left"/>
            </w:pPr>
            <w:r>
              <w:t>WCPFC18-2021-DP04</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72721E" w:rsidRDefault="007F04EE">
            <w:pPr>
              <w:widowControl w:val="0"/>
              <w:spacing w:line="276" w:lineRule="auto"/>
              <w:ind w:left="0"/>
              <w:jc w:val="left"/>
            </w:pPr>
            <w:r>
              <w:t>FFA</w:t>
            </w:r>
          </w:p>
        </w:tc>
        <w:tc>
          <w:tcPr>
            <w:tcW w:w="36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r>
              <w:t>FFA Members Positions on key issues for WCPFC18</w:t>
            </w:r>
          </w:p>
        </w:tc>
        <w:tc>
          <w:tcPr>
            <w:tcW w:w="30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2721E" w:rsidRDefault="007F04EE">
            <w:pPr>
              <w:widowControl w:val="0"/>
              <w:spacing w:line="276" w:lineRule="auto"/>
              <w:ind w:left="0"/>
              <w:jc w:val="left"/>
            </w:pPr>
            <w:hyperlink r:id="rId19">
              <w:r>
                <w:rPr>
                  <w:color w:val="1155CC"/>
                  <w:u w:val="single"/>
                </w:rPr>
                <w:t>https://meetings.wcpfc.int/file/9985/download</w:t>
              </w:r>
            </w:hyperlink>
          </w:p>
          <w:p w:rsidR="0072721E" w:rsidRDefault="0072721E">
            <w:pPr>
              <w:widowControl w:val="0"/>
              <w:spacing w:line="276" w:lineRule="auto"/>
              <w:ind w:left="0"/>
              <w:jc w:val="left"/>
            </w:pPr>
          </w:p>
        </w:tc>
      </w:tr>
    </w:tbl>
    <w:p w:rsidR="0072721E" w:rsidRDefault="0072721E">
      <w:pPr>
        <w:pBdr>
          <w:top w:val="nil"/>
          <w:left w:val="nil"/>
          <w:bottom w:val="nil"/>
          <w:right w:val="nil"/>
          <w:between w:val="nil"/>
        </w:pBdr>
        <w:ind w:left="0"/>
        <w:rPr>
          <w:i/>
          <w:sz w:val="18"/>
          <w:szCs w:val="18"/>
        </w:rPr>
      </w:pPr>
    </w:p>
    <w:p w:rsidR="0072721E" w:rsidRDefault="0072721E">
      <w:pPr>
        <w:ind w:left="0"/>
        <w:rPr>
          <w:b/>
          <w:sz w:val="28"/>
          <w:szCs w:val="28"/>
        </w:rPr>
      </w:pPr>
    </w:p>
    <w:tbl>
      <w:tblPr>
        <w:tblStyle w:val="a6"/>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hyperlink r:id="rId20">
              <w:r>
                <w:rPr>
                  <w:color w:val="0000EE"/>
                  <w:u w:val="single"/>
                </w:rPr>
                <w:t>Joyce Samuelu-Ah Leong</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jc w:val="left"/>
            </w:pPr>
            <w:bookmarkStart w:id="14" w:name="_ucbiiqp8db3j" w:colFirst="0" w:colLast="0"/>
            <w:bookmarkEnd w:id="14"/>
            <w:r>
              <w:t>WCPFC18-2021-DP01 Proposal by the US on the Conservation and Management Measures for Sharks (CMM2019-04)</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r>
              <w:rPr>
                <w:i/>
              </w:rPr>
              <w:t>Agenda 4: Mindful of the constraints of online meeting, Members with new proposals will be invited to briefly introduce their proposals. The Commission is expected to consider how to progress the discussions of those proposals during the meeting.</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rPr>
                <w:i/>
              </w:rPr>
            </w:pPr>
            <w:hyperlink r:id="rId21">
              <w:r>
                <w:rPr>
                  <w:i/>
                  <w:color w:val="1155CC"/>
                  <w:u w:val="single"/>
                </w:rPr>
                <w:t xml:space="preserve">WCPFC18 - 2021 - DP01: </w:t>
              </w:r>
            </w:hyperlink>
            <w:r>
              <w:rPr>
                <w:i/>
              </w:rPr>
              <w:t>Proposal by the USA on the Conservation and Management Measures for Sharks CMM 2019-04.</w:t>
            </w:r>
          </w:p>
          <w:p w:rsidR="0072721E" w:rsidRDefault="0072721E">
            <w:pPr>
              <w:widowControl w:val="0"/>
              <w:spacing w:after="0"/>
              <w:ind w:left="0"/>
              <w:jc w:val="left"/>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r>
              <w:t xml:space="preserve">USA’s proposal is to revise the CMM 2019-04 by modifying paragraph 14 to prohibit </w:t>
            </w:r>
            <w:r>
              <w:rPr>
                <w:u w:val="single"/>
              </w:rPr>
              <w:t>both</w:t>
            </w:r>
            <w:r>
              <w:t xml:space="preserve"> the use of wire trace as branch lines and the use of shark lines; and deleting the redundant paragraph 15 which requires CCMs to notify the Commission as to which option is prohibited on a vessel by vessel or fleet basis.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Commission adopted the CMM 2019-04 in 2019 which became effective on the 1st November 2020. Further to that was the exemption for Indonesia to have an extra twelve months to prepare before implementing this measure. The resulting implementation date for Indonesia was the 1st November 2021.</w:t>
            </w:r>
          </w:p>
          <w:p w:rsidR="0072721E" w:rsidRDefault="0072721E">
            <w:pPr>
              <w:widowControl w:val="0"/>
              <w:spacing w:after="0"/>
              <w:ind w:left="0"/>
            </w:pPr>
          </w:p>
          <w:p w:rsidR="0072721E" w:rsidRDefault="007F04EE">
            <w:pPr>
              <w:widowControl w:val="0"/>
              <w:spacing w:after="0"/>
              <w:ind w:left="0"/>
            </w:pPr>
            <w:r>
              <w:t>Note that this measure is yet to be assessed in the CMR process, CCMs have yet to agree on when these obligations are to be assessed.</w:t>
            </w:r>
          </w:p>
          <w:p w:rsidR="0072721E" w:rsidRDefault="0072721E">
            <w:pPr>
              <w:widowControl w:val="0"/>
              <w:spacing w:after="0"/>
              <w:ind w:left="0"/>
            </w:pPr>
          </w:p>
          <w:p w:rsidR="0072721E" w:rsidRDefault="007F04EE">
            <w:pPr>
              <w:widowControl w:val="0"/>
              <w:spacing w:after="0"/>
              <w:ind w:left="0"/>
            </w:pPr>
            <w:r>
              <w:t xml:space="preserve">In the FFA’s HMTCs for Access by Fishing Vessels, the use of wire traces as branch lines or leaders by longline fishing vessels is prohibited. </w:t>
            </w:r>
          </w:p>
          <w:p w:rsidR="0072721E" w:rsidRDefault="0072721E">
            <w:pPr>
              <w:widowControl w:val="0"/>
              <w:spacing w:after="0"/>
              <w:ind w:left="0"/>
            </w:pPr>
          </w:p>
          <w:p w:rsidR="0072721E" w:rsidRDefault="007F04EE">
            <w:pPr>
              <w:widowControl w:val="0"/>
              <w:spacing w:after="0"/>
              <w:ind w:left="0"/>
            </w:pPr>
            <w:r>
              <w:t xml:space="preserve">The proposal by the US in DP01 has completed the CMM 2013-06 questionnaire and while the FFA Secretariat considers this to be a thorough assessment, we do note that there was no prior consultation with FFA members before the proposal was submitted until theday before the due date for submission of new proposals for consideration at WCPFC18.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Proposal to remove the option in paragraph 14 of the CMM2019-01 which will then make it mandatory to prohibit the use of </w:t>
            </w:r>
            <w:r>
              <w:rPr>
                <w:u w:val="single"/>
              </w:rPr>
              <w:t xml:space="preserve">both </w:t>
            </w:r>
            <w:r>
              <w:t>wire traces as branch lines and the use of shark lines.</w:t>
            </w:r>
          </w:p>
          <w:p w:rsidR="0072721E" w:rsidRDefault="0072721E">
            <w:pPr>
              <w:widowControl w:val="0"/>
              <w:spacing w:after="0"/>
              <w:ind w:left="0"/>
            </w:pPr>
          </w:p>
          <w:p w:rsidR="0072721E" w:rsidRDefault="007F04EE">
            <w:pPr>
              <w:widowControl w:val="0"/>
              <w:spacing w:after="0"/>
              <w:ind w:left="0"/>
            </w:pPr>
            <w:r>
              <w:t>The proposal does not have any major impacts on the FFA longline fleets, given that we have banned the use of these on fishing vessels fishing in our waters and there are no longline vessels targeting sharks.</w:t>
            </w:r>
          </w:p>
          <w:p w:rsidR="0072721E" w:rsidRDefault="0072721E">
            <w:pPr>
              <w:widowControl w:val="0"/>
              <w:spacing w:after="0"/>
              <w:ind w:left="0"/>
            </w:pPr>
          </w:p>
          <w:p w:rsidR="0072721E" w:rsidRDefault="007F04EE">
            <w:pPr>
              <w:widowControl w:val="0"/>
              <w:spacing w:after="0"/>
              <w:ind w:left="0"/>
            </w:pPr>
            <w:r>
              <w:t>The US reaching out to us (through the Secretariat) is an indication they want the FFA support for this proposal. It may be a good token of collaboration with the US, should there be a consideration of support from our members on this proposal</w:t>
            </w:r>
          </w:p>
          <w:p w:rsidR="0072721E" w:rsidRDefault="0072721E">
            <w:pPr>
              <w:widowControl w:val="0"/>
              <w:spacing w:after="0"/>
              <w:ind w:left="0"/>
            </w:pPr>
          </w:p>
          <w:p w:rsidR="0072721E" w:rsidRDefault="007F04EE">
            <w:pPr>
              <w:widowControl w:val="0"/>
              <w:spacing w:after="0"/>
              <w:ind w:left="0"/>
            </w:pPr>
            <w:r>
              <w:t>The US have not raised in the SC17 or TCC17 their intention for such a proposal, so members may wish to note the need for timely consultations particularly with other CCMs who are likely to be affected by this proposal.</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While it is unlikely the US expects this proposal to be adopted this year, FFA members may wish to consider supporting this proposal in principle and to indicate a willingness to work with the USA to get it adopted.</w:t>
            </w:r>
          </w:p>
        </w:tc>
      </w:tr>
    </w:tbl>
    <w:p w:rsidR="0072721E" w:rsidRDefault="0072721E">
      <w:pPr>
        <w:ind w:left="0"/>
        <w:rPr>
          <w:b/>
          <w:sz w:val="28"/>
          <w:szCs w:val="28"/>
        </w:rPr>
      </w:pPr>
    </w:p>
    <w:p w:rsidR="0072721E" w:rsidRDefault="007F04EE">
      <w:pPr>
        <w:ind w:left="0"/>
        <w:rPr>
          <w:b/>
          <w:sz w:val="28"/>
          <w:szCs w:val="28"/>
        </w:rPr>
      </w:pPr>
      <w:r>
        <w:pict>
          <v:rect id="_x0000_i1028" style="width:0;height:1.5pt" o:hralign="center" o:hrstd="t" o:hr="t" fillcolor="#a0a0a0" stroked="f"/>
        </w:pict>
      </w:r>
    </w:p>
    <w:p w:rsidR="0072721E" w:rsidRDefault="0072721E">
      <w:pPr>
        <w:ind w:left="0"/>
        <w:rPr>
          <w:b/>
          <w:sz w:val="28"/>
          <w:szCs w:val="28"/>
        </w:rPr>
      </w:pPr>
    </w:p>
    <w:tbl>
      <w:tblPr>
        <w:tblStyle w:val="a7"/>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22">
              <w:r>
                <w:rPr>
                  <w:color w:val="0000EE"/>
                  <w:u w:val="single"/>
                </w:rPr>
                <w:t>Pio Manoa</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15" w:name="_a70cwlshouhj" w:colFirst="0" w:colLast="0"/>
            <w:bookmarkEnd w:id="15"/>
            <w:r>
              <w:t xml:space="preserve">WCPFC18-2021-DP02 </w:t>
            </w:r>
            <w:r>
              <w:rPr>
                <w:sz w:val="24"/>
                <w:szCs w:val="24"/>
              </w:rPr>
              <w:t>Proposed amendment to the current CMM 2019-08 for Charter Notification Scheme</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New Proposal</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23">
              <w:r>
                <w:rPr>
                  <w:color w:val="1155CC"/>
                  <w:u w:val="single"/>
                </w:rPr>
                <w:t>WCPFC18-2021-DP02</w:t>
              </w:r>
            </w:hyperlink>
            <w:r>
              <w:t xml:space="preserve">; CMM 2019-08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DP02 (from Japan) introduces three amendments to CMM 2019-08: i) Notification of the charter by the Executive Director to the Scientific Services Provider also; ii) Notification of the area of application (EEZ, High Seas, or both); and iii) Extension of the CMM until February 2024.</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Charter Notification Scheme CMM is an important measure that supports the domestic development aspirations of FFA Members. </w:t>
            </w:r>
          </w:p>
          <w:p w:rsidR="0072721E" w:rsidRDefault="0072721E">
            <w:pPr>
              <w:widowControl w:val="0"/>
              <w:spacing w:after="0"/>
              <w:ind w:left="0"/>
            </w:pPr>
          </w:p>
          <w:p w:rsidR="0072721E" w:rsidRDefault="007F04EE">
            <w:pPr>
              <w:widowControl w:val="0"/>
              <w:spacing w:after="0"/>
              <w:ind w:left="0"/>
            </w:pPr>
            <w:r>
              <w:t>In addition to the procedure for charter notifications, the provision on catch and effort attribution is fundamental to chartering CCMs: “</w:t>
            </w:r>
            <w:r>
              <w:rPr>
                <w:i/>
              </w:rPr>
              <w:t>7. Unless specifically provided in other CMMs, catches and effort of vessels notified as chartered under this CMM shall be attributed to the chartering Member or Participating Territory</w:t>
            </w:r>
            <w:r>
              <w:t>.”</w:t>
            </w:r>
          </w:p>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most important outcome in the consideration of DP02 is an extension to the CMM for at least [three] years.</w:t>
            </w:r>
          </w:p>
          <w:p w:rsidR="0072721E" w:rsidRDefault="0072721E">
            <w:pPr>
              <w:widowControl w:val="0"/>
              <w:spacing w:after="0"/>
              <w:ind w:left="0"/>
            </w:pPr>
          </w:p>
          <w:p w:rsidR="0072721E" w:rsidRDefault="007F04EE">
            <w:pPr>
              <w:widowControl w:val="0"/>
              <w:spacing w:after="0"/>
              <w:ind w:left="0"/>
            </w:pPr>
            <w:r>
              <w:t>Although the amendments are generally aligned with the position of Members, introducing any amendment exposes the CMM to risky amendments from other CCMs.</w:t>
            </w:r>
          </w:p>
          <w:p w:rsidR="0072721E" w:rsidRDefault="0072721E">
            <w:pPr>
              <w:widowControl w:val="0"/>
              <w:spacing w:after="0"/>
              <w:ind w:left="0"/>
            </w:pPr>
          </w:p>
          <w:p w:rsidR="0072721E" w:rsidRDefault="007F04EE">
            <w:pPr>
              <w:widowControl w:val="0"/>
              <w:spacing w:after="0"/>
              <w:ind w:left="0"/>
            </w:pPr>
            <w:r>
              <w:t>Within DP02, Japan has included a basic CMM 2013-06 assessment which concludes that there is minimal administrative impact. FFA Members to consider whether the 13-06 assessment is satisfactory.</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Acknowledge Japan for DP02 since the Charter Notification CMM is of importance to the domestic development (and the special requirements) of SIDS CCMs.</w:t>
            </w:r>
          </w:p>
          <w:p w:rsidR="0072721E" w:rsidRDefault="0072721E">
            <w:pPr>
              <w:widowControl w:val="0"/>
              <w:spacing w:after="0"/>
              <w:ind w:left="0"/>
            </w:pPr>
          </w:p>
          <w:p w:rsidR="0072721E" w:rsidRDefault="007F04EE">
            <w:pPr>
              <w:widowControl w:val="0"/>
              <w:spacing w:after="0"/>
              <w:ind w:left="0"/>
            </w:pPr>
            <w:r>
              <w:t>Support the extension of the CMM for at least [three] years.</w:t>
            </w:r>
          </w:p>
          <w:p w:rsidR="0072721E" w:rsidRDefault="0072721E">
            <w:pPr>
              <w:widowControl w:val="0"/>
              <w:spacing w:after="0"/>
              <w:ind w:left="0"/>
            </w:pPr>
          </w:p>
          <w:p w:rsidR="0072721E" w:rsidRDefault="007F04EE">
            <w:pPr>
              <w:widowControl w:val="0"/>
              <w:spacing w:after="0"/>
              <w:ind w:left="0"/>
            </w:pPr>
            <w:r>
              <w:t>If consideration of the DP02 amendments in plenary attracts risky amendments from other CCMs, propose that the extension of the CMM be approved and the Secretariat make the necessary amendment in the final paragraph of the measure.</w:t>
            </w:r>
          </w:p>
        </w:tc>
      </w:tr>
    </w:tbl>
    <w:p w:rsidR="0072721E" w:rsidRDefault="0072721E">
      <w:pPr>
        <w:ind w:left="0"/>
        <w:rPr>
          <w:b/>
          <w:sz w:val="28"/>
          <w:szCs w:val="28"/>
        </w:rPr>
      </w:pPr>
    </w:p>
    <w:p w:rsidR="0072721E" w:rsidRDefault="007F04EE">
      <w:pPr>
        <w:ind w:left="0"/>
        <w:rPr>
          <w:b/>
          <w:sz w:val="28"/>
          <w:szCs w:val="28"/>
        </w:rPr>
      </w:pPr>
      <w:r>
        <w:pict>
          <v:rect id="_x0000_i1029" style="width:0;height:1.5pt" o:hralign="center" o:hrstd="t" o:hr="t" fillcolor="#a0a0a0" stroked="f"/>
        </w:pict>
      </w:r>
    </w:p>
    <w:p w:rsidR="0072721E" w:rsidRDefault="0072721E">
      <w:pPr>
        <w:ind w:left="0"/>
        <w:rPr>
          <w:b/>
          <w:sz w:val="28"/>
          <w:szCs w:val="28"/>
        </w:rPr>
      </w:pPr>
    </w:p>
    <w:tbl>
      <w:tblPr>
        <w:tblStyle w:val="a8"/>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24">
              <w:r>
                <w:rPr>
                  <w:color w:val="0000EE"/>
                  <w:u w:val="single"/>
                </w:rPr>
                <w:t>Pio Manoa</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16" w:name="_s0z4bylkksj3" w:colFirst="0" w:colLast="0"/>
            <w:bookmarkEnd w:id="16"/>
            <w:r>
              <w:t xml:space="preserve">WCPFC18-2021-DP03 </w:t>
            </w:r>
            <w:r>
              <w:rPr>
                <w:sz w:val="24"/>
                <w:szCs w:val="24"/>
              </w:rPr>
              <w:t>Proposal for amending CMM 2019-07 (WCPFC IUU VESSEL LIST)</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New proposal</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25">
              <w:r>
                <w:rPr>
                  <w:color w:val="1155CC"/>
                  <w:u w:val="single"/>
                </w:rPr>
                <w:t>WCPFC18-2021-DP03_rev1</w:t>
              </w:r>
            </w:hyperlink>
            <w:r>
              <w:t>; CMM 2019-07</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3"/>
                <w:szCs w:val="23"/>
              </w:rPr>
            </w:pPr>
            <w:r>
              <w:t>DP03 (Canada, EU, Japan, Chinese Taipei) introduces proposed amendments to CMM 2019-07 for</w:t>
            </w:r>
            <w:r>
              <w:rPr>
                <w:sz w:val="23"/>
                <w:szCs w:val="23"/>
              </w:rPr>
              <w:t xml:space="preserve"> a cross-listing procedure (new paragraphs 30 to 39). DP03 is essentially the EU’s cross-listing proposal without additional provisions on action to be taken against nationals (natural or legal persons) involved in IUU fishing (control of nationals). A CMM 2013-06 assessment is included and concludes that there is no administrative impact and no impact on SIDS development aspirations.</w:t>
            </w:r>
          </w:p>
          <w:p w:rsidR="0072721E" w:rsidRDefault="0072721E">
            <w:pPr>
              <w:widowControl w:val="0"/>
              <w:spacing w:after="0"/>
              <w:ind w:left="0"/>
              <w:rPr>
                <w:sz w:val="23"/>
                <w:szCs w:val="23"/>
              </w:rPr>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before="240" w:after="240"/>
              <w:ind w:left="0"/>
            </w:pPr>
            <w:r>
              <w:t xml:space="preserve">The EU first tabled a proposal at WCPFC16 to introduce an IUU cross listing procedure in WCPFC. Failing agreement at WCPFC16, the EU tabled a Discussion Paper at WCPFC17 to attract CCM input. </w:t>
            </w:r>
          </w:p>
          <w:p w:rsidR="0072721E" w:rsidRDefault="007F04EE">
            <w:pPr>
              <w:widowControl w:val="0"/>
              <w:spacing w:before="240" w:after="240"/>
              <w:ind w:left="0"/>
            </w:pPr>
            <w:r>
              <w:t>At TCC17 the EU sought views on its proposal. FFA Members requested the EU to respond to its questions on administrative and institutional impacts posed by cross-listing.</w:t>
            </w:r>
          </w:p>
          <w:p w:rsidR="0072721E" w:rsidRDefault="007F04EE">
            <w:pPr>
              <w:widowControl w:val="0"/>
              <w:spacing w:before="240" w:after="240"/>
              <w:ind w:left="0"/>
            </w:pPr>
            <w:r>
              <w:t xml:space="preserve">FFA Members reiterated at WCPFC17 their longstanding position that CMM 2013-06 assessments must reflect the implications of each proposed amendment upon SIDS. An assessment that is inaccurate or misleading will not be compliant with CMM 2013-06.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FFA Members have requested the EU to respond to questions posed at TCC15, WCPFC16, TCC16, WCPFC17 and TCC17 on the administrative, institutional, and legal implications of cross-listing. The EU is yet to provide  a satisfactory response.</w:t>
            </w:r>
          </w:p>
          <w:p w:rsidR="0072721E" w:rsidRDefault="007F04EE">
            <w:pPr>
              <w:widowControl w:val="0"/>
              <w:spacing w:before="240" w:after="240"/>
              <w:ind w:left="0"/>
            </w:pPr>
            <w:r>
              <w:t>Issues and questions raised by FFA Members on the EU cross-listing proposal since 2019 are as follows:</w:t>
            </w:r>
          </w:p>
          <w:p w:rsidR="0072721E" w:rsidRDefault="007F04EE">
            <w:pPr>
              <w:widowControl w:val="0"/>
              <w:spacing w:before="240" w:after="240"/>
              <w:ind w:left="0"/>
            </w:pPr>
            <w:r>
              <w:t xml:space="preserve"> i)</w:t>
            </w:r>
            <w:r>
              <w:rPr>
                <w:sz w:val="14"/>
                <w:szCs w:val="14"/>
              </w:rPr>
              <w:t xml:space="preserve">                    </w:t>
            </w:r>
            <w:r>
              <w:t xml:space="preserve">At WCPFC16 (December 2019), FFA Members raised concerns regarding the proposal’s administrative impact and implementation and noted their finding that </w:t>
            </w:r>
            <w:r>
              <w:rPr>
                <w:u w:val="single"/>
              </w:rPr>
              <w:t>the proposal would have significantly more impact on national administrations than suggested by the EU’s CMM 2013-06 assessment</w:t>
            </w:r>
            <w:r>
              <w:t xml:space="preserve">. </w:t>
            </w:r>
          </w:p>
          <w:p w:rsidR="0072721E" w:rsidRDefault="007F04EE">
            <w:pPr>
              <w:widowControl w:val="0"/>
              <w:spacing w:before="240" w:after="240"/>
              <w:ind w:left="0"/>
            </w:pPr>
            <w:r>
              <w:t>ii)</w:t>
            </w:r>
            <w:r>
              <w:rPr>
                <w:sz w:val="14"/>
                <w:szCs w:val="14"/>
              </w:rPr>
              <w:t xml:space="preserve">                   </w:t>
            </w:r>
            <w:r>
              <w:t xml:space="preserve">FFA Members at WCPFC16 noted that the process is operational in other RFMOs and </w:t>
            </w:r>
            <w:r>
              <w:rPr>
                <w:u w:val="single"/>
              </w:rPr>
              <w:t>welcomed further explanations and guidance from the EU</w:t>
            </w:r>
            <w:r>
              <w:t xml:space="preserve">, and </w:t>
            </w:r>
            <w:r>
              <w:rPr>
                <w:u w:val="single"/>
              </w:rPr>
              <w:t>requested a proper analysis and assessment of the legal and institutional implications associated with recognition of IUU vessel lists of other RFMOs, especially non-tuna RFMOs, in order to enable a discussion of the potential risks for and liability of the Commission and CCMs</w:t>
            </w:r>
            <w:r>
              <w:t>.</w:t>
            </w:r>
          </w:p>
          <w:p w:rsidR="0072721E" w:rsidRDefault="007F04EE">
            <w:pPr>
              <w:widowControl w:val="0"/>
              <w:spacing w:before="240" w:after="240"/>
              <w:ind w:left="0"/>
              <w:rPr>
                <w:u w:val="single"/>
              </w:rPr>
            </w:pPr>
            <w:r>
              <w:t>iii)</w:t>
            </w:r>
            <w:r>
              <w:rPr>
                <w:sz w:val="14"/>
                <w:szCs w:val="14"/>
              </w:rPr>
              <w:t xml:space="preserve">                 </w:t>
            </w:r>
            <w:r>
              <w:t xml:space="preserve">Regarding the control of nationals and reciprocal and cooperative arrangements for the exchange of information, FFA members requested that the </w:t>
            </w:r>
            <w:r>
              <w:rPr>
                <w:u w:val="single"/>
              </w:rPr>
              <w:t>EU provide a proper analysis/assessment of the legal and institutional implications, including but not limited to risks and liability associated with confidential information.</w:t>
            </w:r>
          </w:p>
          <w:p w:rsidR="0072721E" w:rsidRDefault="007F04EE">
            <w:pPr>
              <w:widowControl w:val="0"/>
              <w:spacing w:before="240" w:after="240"/>
              <w:ind w:left="0"/>
            </w:pPr>
            <w:r>
              <w:t>iv)</w:t>
            </w:r>
            <w:r>
              <w:rPr>
                <w:sz w:val="14"/>
                <w:szCs w:val="14"/>
              </w:rPr>
              <w:t xml:space="preserve">                 </w:t>
            </w:r>
            <w:r>
              <w:t xml:space="preserve">At WCPFC17 (December 2020), PNA Members requested the WCPFC Secretariat to advise, intersessionally, </w:t>
            </w:r>
            <w:r>
              <w:rPr>
                <w:u w:val="single"/>
              </w:rPr>
              <w:t>how many vessels would be on an expanded IUU List under the cross-listing proposal, noting that this information would help in assessing any burden associated with the proposed measure</w:t>
            </w:r>
            <w:r>
              <w:t>.</w:t>
            </w:r>
          </w:p>
          <w:p w:rsidR="0072721E" w:rsidRDefault="007F04EE">
            <w:pPr>
              <w:widowControl w:val="0"/>
              <w:spacing w:before="240" w:after="240"/>
              <w:ind w:left="0"/>
            </w:pPr>
            <w:r>
              <w:t>v)</w:t>
            </w:r>
            <w:r>
              <w:rPr>
                <w:sz w:val="14"/>
                <w:szCs w:val="14"/>
              </w:rPr>
              <w:t xml:space="preserve">                   </w:t>
            </w:r>
            <w:r>
              <w:t xml:space="preserve">FFA members at WCPFC17 stated they indicated in 2019 that this could have significant implications, and stated they </w:t>
            </w:r>
            <w:r>
              <w:rPr>
                <w:u w:val="single"/>
              </w:rPr>
              <w:t>looked forward to more information about the number of vessels that are listed by other RFMOs</w:t>
            </w:r>
            <w:r>
              <w:t>.</w:t>
            </w:r>
          </w:p>
          <w:p w:rsidR="0072721E" w:rsidRDefault="007F04EE">
            <w:pPr>
              <w:widowControl w:val="0"/>
              <w:spacing w:before="240" w:after="240"/>
              <w:ind w:left="0"/>
            </w:pPr>
            <w:r>
              <w:t>vi)</w:t>
            </w:r>
            <w:r>
              <w:rPr>
                <w:sz w:val="14"/>
                <w:szCs w:val="14"/>
              </w:rPr>
              <w:t xml:space="preserve">                 </w:t>
            </w:r>
            <w:r>
              <w:t xml:space="preserve">At TCC17 (September 2021), FFA Members stated that over the past few years, they had asked many questions and sought clarifications on several aspects of the EU proposal (which are reflected in WCPFC reports), but that these had not been addressed by the EU. Members stated that the proposal impacts significantly on small SIDS administrations and FFA could not consider the proposal until a thorough CMM 2013-06 assessment was conducted, noting that the CMM 2013-06 assessment submitted by the EU was inadequate. Given those issues, the virtual meeting format, and TCC’s priorities, FFA members recommended that consideration of the proposal be postponed. </w:t>
            </w:r>
          </w:p>
          <w:p w:rsidR="0072721E" w:rsidRDefault="007F04EE">
            <w:pPr>
              <w:widowControl w:val="0"/>
              <w:spacing w:after="0"/>
              <w:ind w:left="0"/>
            </w:pPr>
            <w:r>
              <w:t>In DP03, it is suggested that approximately 150 fishing vessels will be cross-listed in the WCPFC IUU Vessel List. The DP states that these vessels are “</w:t>
            </w:r>
            <w:r>
              <w:rPr>
                <w:i/>
              </w:rPr>
              <w:t>already listed in the IUU list of the tuna-RFMOs and non-tuna RFMOs having a mandate in the Pacific Ocean (IATTC: 13; NPFC: 36; CCAMLR: 17; IOTC: 62; ICCAT: 35)</w:t>
            </w:r>
            <w:r>
              <w:t>.” The vessel numbers provided exceeds 160 and does not include SPRFMO and CCSBT listed vessels. The phrase “having a mandate in the Pacific Ocean” in relation to RFMOs is misleading because there are RFMOs listed which do not have any mandate in the Pacific Ocean, such as ICCAT and IOTC.</w:t>
            </w:r>
          </w:p>
          <w:p w:rsidR="0072721E" w:rsidRDefault="0072721E">
            <w:pPr>
              <w:widowControl w:val="0"/>
              <w:spacing w:after="0"/>
              <w:ind w:left="0"/>
            </w:pPr>
          </w:p>
          <w:p w:rsidR="0072721E" w:rsidRDefault="007F04EE">
            <w:pPr>
              <w:widowControl w:val="0"/>
              <w:spacing w:after="0"/>
              <w:ind w:left="0"/>
            </w:pPr>
            <w:r>
              <w:t>The revised CMM 2013-06 assessment in DP03 contains misleading and inaccurate statements. For example, on whether additional resources are needed to implement the proposal, the assessment provides:  “</w:t>
            </w:r>
            <w:r>
              <w:rPr>
                <w:i/>
              </w:rPr>
              <w:t>No additional resources, including financial and human capacity, are needed by SIDS to implement the proposal. All CCMs are already expected to implemented the IUU CMM of WCPFC and the proposed amendments do not involve mobilising any supplementary means for their implementation</w:t>
            </w:r>
            <w:r>
              <w:t>.”</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Invite the EU to respond to the questions raised by FFA Members since 2019 on the administrative, institutional and legal implications of the proposal.</w:t>
            </w:r>
          </w:p>
          <w:p w:rsidR="0072721E" w:rsidRDefault="0072721E">
            <w:pPr>
              <w:widowControl w:val="0"/>
              <w:spacing w:after="0"/>
              <w:ind w:left="0"/>
            </w:pPr>
          </w:p>
          <w:p w:rsidR="0072721E" w:rsidRDefault="007F04EE">
            <w:pPr>
              <w:widowControl w:val="0"/>
              <w:spacing w:after="0"/>
              <w:ind w:left="0"/>
            </w:pPr>
            <w:r>
              <w:t>Require an accurate CMM 2013-06 assessment.</w:t>
            </w:r>
          </w:p>
          <w:p w:rsidR="0072721E" w:rsidRDefault="0072721E">
            <w:pPr>
              <w:widowControl w:val="0"/>
              <w:spacing w:after="0"/>
              <w:ind w:left="0"/>
            </w:pPr>
          </w:p>
          <w:p w:rsidR="0072721E" w:rsidRDefault="007F04EE">
            <w:pPr>
              <w:widowControl w:val="0"/>
              <w:spacing w:after="0"/>
              <w:ind w:left="0"/>
            </w:pPr>
            <w:r>
              <w:t>Not support the proposed amendments to CMM 2019-07.</w:t>
            </w:r>
          </w:p>
          <w:p w:rsidR="0072721E" w:rsidRDefault="0072721E">
            <w:pPr>
              <w:widowControl w:val="0"/>
              <w:spacing w:after="0"/>
              <w:ind w:left="0"/>
            </w:pPr>
          </w:p>
        </w:tc>
      </w:tr>
    </w:tbl>
    <w:p w:rsidR="0072721E" w:rsidRDefault="0072721E">
      <w:pPr>
        <w:ind w:left="0"/>
      </w:pPr>
    </w:p>
    <w:p w:rsidR="0072721E" w:rsidRDefault="0072721E">
      <w:pPr>
        <w:ind w:left="0"/>
      </w:pPr>
    </w:p>
    <w:p w:rsidR="0072721E" w:rsidRDefault="0072721E">
      <w:pPr>
        <w:pBdr>
          <w:top w:val="nil"/>
          <w:left w:val="nil"/>
          <w:bottom w:val="nil"/>
          <w:right w:val="nil"/>
          <w:between w:val="nil"/>
        </w:pBdr>
        <w:ind w:left="0"/>
        <w:rPr>
          <w:i/>
          <w:sz w:val="18"/>
          <w:szCs w:val="18"/>
        </w:rPr>
      </w:pPr>
    </w:p>
    <w:p w:rsidR="0072721E" w:rsidRDefault="007F04EE">
      <w:pPr>
        <w:pStyle w:val="Heading1"/>
        <w:spacing w:after="200"/>
      </w:pPr>
      <w:bookmarkStart w:id="17" w:name="_m205zwopan2a" w:colFirst="0" w:colLast="0"/>
      <w:bookmarkEnd w:id="17"/>
      <w:r>
        <w:t>AGENDA ITEM 5</w:t>
      </w:r>
      <w:r>
        <w:tab/>
        <w:t>INTERSESSIONAL DECISIONS IN RESPONSE TO COVID-19</w:t>
      </w:r>
    </w:p>
    <w:p w:rsidR="0072721E" w:rsidRDefault="007F04EE">
      <w:pPr>
        <w:rPr>
          <w:i/>
          <w:sz w:val="18"/>
          <w:szCs w:val="18"/>
        </w:rPr>
      </w:pPr>
      <w:r>
        <w:rPr>
          <w:i/>
          <w:sz w:val="18"/>
          <w:szCs w:val="18"/>
        </w:rPr>
        <w:t>The  Commission  will  review  and  decide  on  its  intersessional  decisions  in  response  to  the  COVID-19 pandemic and related issues.</w:t>
      </w:r>
    </w:p>
    <w:p w:rsidR="0072721E" w:rsidRDefault="0072721E">
      <w:pPr>
        <w:ind w:left="0"/>
      </w:pPr>
    </w:p>
    <w:tbl>
      <w:tblPr>
        <w:tblStyle w:val="a9"/>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26">
              <w:r>
                <w:rPr>
                  <w:color w:val="0000EE"/>
                  <w:u w:val="single"/>
                </w:rPr>
                <w:t>Allan Rahari</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18" w:name="_fbz9lcxs5q8z" w:colFirst="0" w:colLast="0"/>
            <w:bookmarkEnd w:id="18"/>
            <w:r>
              <w:t>5 - Intersessional Decision in Response to COVID-19</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6"/>
                <w:szCs w:val="26"/>
              </w:rPr>
            </w:pPr>
            <w:r>
              <w:t>The  Commission  will  review  and  decide  on  its  intersessional  decisions  in  response  to  the  COVID-19 pandemic and related issues.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numPr>
                <w:ilvl w:val="0"/>
                <w:numId w:val="17"/>
              </w:numPr>
              <w:spacing w:after="0"/>
            </w:pPr>
            <w:r>
              <w:rPr>
                <w:color w:val="233544"/>
              </w:rPr>
              <w:t xml:space="preserve">WCPFC18-2021-08 - COVID-19 related intersessional decision - </w:t>
            </w:r>
            <w:hyperlink r:id="rId27">
              <w:r>
                <w:rPr>
                  <w:color w:val="1155CC"/>
                  <w:u w:val="single"/>
                </w:rPr>
                <w:t>https://meetings.wcpfc.int/node/14241</w:t>
              </w:r>
            </w:hyperlink>
            <w:r>
              <w:rPr>
                <w:color w:val="233544"/>
              </w:rPr>
              <w:t xml:space="preserve"> </w:t>
            </w:r>
          </w:p>
          <w:p w:rsidR="0072721E" w:rsidRDefault="007F04EE">
            <w:pPr>
              <w:widowControl w:val="0"/>
              <w:numPr>
                <w:ilvl w:val="0"/>
                <w:numId w:val="17"/>
              </w:numPr>
              <w:spacing w:after="0"/>
            </w:pPr>
            <w:r>
              <w:rPr>
                <w:color w:val="233544"/>
              </w:rPr>
              <w:t xml:space="preserve">TCC17 Summary Report - </w:t>
            </w:r>
            <w:hyperlink r:id="rId28">
              <w:r>
                <w:rPr>
                  <w:color w:val="1155CC"/>
                  <w:u w:val="single"/>
                </w:rPr>
                <w:t>https://meetings.wcpfc.int/node/14266</w:t>
              </w:r>
            </w:hyperlink>
            <w:r>
              <w:rPr>
                <w:color w:val="233544"/>
              </w:rPr>
              <w:t xml:space="preserve"> </w:t>
            </w:r>
          </w:p>
          <w:p w:rsidR="0072721E" w:rsidRDefault="007F04EE">
            <w:pPr>
              <w:widowControl w:val="0"/>
              <w:numPr>
                <w:ilvl w:val="0"/>
                <w:numId w:val="17"/>
              </w:numPr>
              <w:spacing w:after="0"/>
              <w:rPr>
                <w:color w:val="233544"/>
              </w:rPr>
            </w:pPr>
            <w:r>
              <w:rPr>
                <w:color w:val="233544"/>
              </w:rPr>
              <w:t>WCPFC-TCC17-2021-14 COVID-19 related Intersessional Decisions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Members will consider the TCC17 recommendations relating to the COVID-19 intersessional decisions. Members to support these recommendations and, as part of a phased-in approach to lifting the suspensions, FFA Members to consider recommending that WCPFC18 remove the suspension of the prohibition on at sea transhipment for purse vessels.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At TCC17, the WCPFC Secretariat reported in paper WCPFC-TCC17-2021-14 on a number of issues relating to the intessessional decisions. These include:</w:t>
            </w:r>
          </w:p>
          <w:p w:rsidR="0072721E" w:rsidRDefault="007F04EE">
            <w:pPr>
              <w:widowControl w:val="0"/>
              <w:numPr>
                <w:ilvl w:val="0"/>
                <w:numId w:val="67"/>
              </w:numPr>
              <w:spacing w:after="0"/>
            </w:pPr>
            <w:r>
              <w:t>the absence of observers on PS vessels may have implications on compliance with certain obligations that rely on observer reports;</w:t>
            </w:r>
          </w:p>
          <w:p w:rsidR="0072721E" w:rsidRDefault="007F04EE">
            <w:pPr>
              <w:widowControl w:val="0"/>
              <w:numPr>
                <w:ilvl w:val="0"/>
                <w:numId w:val="67"/>
              </w:numPr>
              <w:spacing w:after="0"/>
            </w:pPr>
            <w:r>
              <w:t>reduced observer coverage significantly affects the precision of the PS bigeye tuna catch estimates in the aggregate data used for the stock assessments and a return to 100% PS observer coverage is strongly recommended as soon as it is safe and logistically feasible;</w:t>
            </w:r>
          </w:p>
          <w:p w:rsidR="0072721E" w:rsidRDefault="007F04EE">
            <w:pPr>
              <w:widowControl w:val="0"/>
              <w:numPr>
                <w:ilvl w:val="0"/>
                <w:numId w:val="67"/>
              </w:numPr>
              <w:spacing w:after="0"/>
            </w:pPr>
            <w:r>
              <w:t>the likely continuation of the suspension of observer coverage on PS vessels will impact the ability of TCC to use the aggregate tables to indicate potential anomalies in the implementation of obligations by a CCM;</w:t>
            </w:r>
          </w:p>
          <w:p w:rsidR="0072721E" w:rsidRDefault="007F04EE">
            <w:pPr>
              <w:widowControl w:val="0"/>
              <w:numPr>
                <w:ilvl w:val="0"/>
                <w:numId w:val="67"/>
              </w:numPr>
              <w:spacing w:after="0"/>
            </w:pPr>
            <w:r>
              <w:t>observer placement coverage for 2020 on PS vessels (when all observer data are provided) is expected to be at best 45–50%; and</w:t>
            </w:r>
          </w:p>
          <w:p w:rsidR="0072721E" w:rsidRDefault="007F04EE">
            <w:pPr>
              <w:widowControl w:val="0"/>
              <w:numPr>
                <w:ilvl w:val="0"/>
                <w:numId w:val="67"/>
              </w:numPr>
              <w:spacing w:after="0"/>
            </w:pPr>
            <w:r>
              <w:t>there is reported reduction of observed transhipment events.</w:t>
            </w:r>
          </w:p>
          <w:p w:rsidR="0072721E" w:rsidRDefault="007F04EE">
            <w:pPr>
              <w:widowControl w:val="0"/>
              <w:ind w:left="0"/>
            </w:pPr>
            <w:r>
              <w:t>TCC17 also discussed proposed conditions for lifting the suspension and options for a phased-in approach.</w:t>
            </w:r>
          </w:p>
          <w:p w:rsidR="0072721E" w:rsidRDefault="007F04EE">
            <w:pPr>
              <w:widowControl w:val="0"/>
              <w:spacing w:after="0"/>
              <w:ind w:left="0"/>
            </w:pPr>
            <w:r>
              <w:t>At TCC17, FFA Members:</w:t>
            </w:r>
          </w:p>
          <w:p w:rsidR="0072721E" w:rsidRDefault="007F04EE">
            <w:pPr>
              <w:widowControl w:val="0"/>
              <w:numPr>
                <w:ilvl w:val="0"/>
                <w:numId w:val="8"/>
              </w:numPr>
              <w:spacing w:after="0"/>
            </w:pPr>
            <w:r>
              <w:t>reiterated that getting observers back to work safely on fishing vessels again is a priority and encouraged CCMs to use the FFA COVID-19 Operating Protocols for the Fishing Sector in the Pacific as one of the key requirements to re-commence deployment of observers on fishing Vessels;</w:t>
            </w:r>
          </w:p>
          <w:p w:rsidR="0072721E" w:rsidRDefault="007F04EE">
            <w:pPr>
              <w:widowControl w:val="0"/>
              <w:numPr>
                <w:ilvl w:val="0"/>
                <w:numId w:val="8"/>
              </w:numPr>
              <w:spacing w:after="0"/>
            </w:pPr>
            <w:r>
              <w:t xml:space="preserve">highlighted the importance of COVID-19 vaccination in supporting the resumption of observer redeployment and in supporting vessel port activities; and </w:t>
            </w:r>
          </w:p>
          <w:p w:rsidR="0072721E" w:rsidRDefault="007F04EE">
            <w:pPr>
              <w:widowControl w:val="0"/>
              <w:numPr>
                <w:ilvl w:val="0"/>
                <w:numId w:val="8"/>
              </w:numPr>
            </w:pPr>
            <w:r>
              <w:t>agreed in principle to a phased-in approach but did not support a uniform approach due to the different circumstances of FFA members and other factors that are at play in the region that are outside of FFA members' fisheries administration control.</w:t>
            </w:r>
          </w:p>
          <w:p w:rsidR="0072721E" w:rsidRDefault="007F04EE">
            <w:pPr>
              <w:widowControl w:val="0"/>
              <w:spacing w:after="0"/>
              <w:ind w:left="0"/>
            </w:pPr>
            <w:r>
              <w:t>TCC17 recommended:</w:t>
            </w:r>
          </w:p>
          <w:p w:rsidR="0072721E" w:rsidRDefault="007F04EE">
            <w:pPr>
              <w:widowControl w:val="0"/>
              <w:numPr>
                <w:ilvl w:val="0"/>
                <w:numId w:val="22"/>
              </w:numPr>
              <w:spacing w:after="0"/>
            </w:pPr>
            <w:r>
              <w:t>that WCPFC18 continue the suspensions of the three intersessional decisions after 15 December through until 15 March 2022; and</w:t>
            </w:r>
          </w:p>
          <w:p w:rsidR="0072721E" w:rsidRDefault="007F04EE">
            <w:pPr>
              <w:widowControl w:val="0"/>
              <w:numPr>
                <w:ilvl w:val="0"/>
                <w:numId w:val="22"/>
              </w:numPr>
            </w:pPr>
            <w:r>
              <w:t>the Commission review through an expedited inter-sessional decision-making process, the possible phasing in of the removal of the suspensions, which would need to be implemented flexibly and be subject to a periodic review in light of changed circumstances.</w:t>
            </w:r>
          </w:p>
          <w:p w:rsidR="0072721E" w:rsidRDefault="007F04EE">
            <w:pPr>
              <w:widowControl w:val="0"/>
              <w:ind w:left="0"/>
            </w:pPr>
            <w:r>
              <w:t>WCPFC18-2021-08 suggests that a continued suspension of three intersessional decisions until 15 March 2022 would give the Commission the opportunity to review the decisions intersessionally in light of the COVID-19 situation at the time. In addition, the paper suggests that it might be useful for the Commission to consider its approach to the possible phasing in of the removal of the suspensions.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rPr>
                <w:b/>
              </w:rPr>
              <w:t>TCC17 recommended that WCPFC18 continue the suspensions of the three intersessional decisions after 15 December through until 15 March 2022</w:t>
            </w:r>
            <w:r>
              <w:t xml:space="preserve"> - FFA members did not raise any issues on this recommendation at TCC17.  Due to the unpredictable COVID-19 situation, this would give the Commission the opportunity to review the decisions intersessionally in light of the evolving COVID-19 situation at the time.</w:t>
            </w:r>
          </w:p>
          <w:p w:rsidR="0072721E" w:rsidRDefault="0072721E">
            <w:pPr>
              <w:widowControl w:val="0"/>
              <w:spacing w:after="0"/>
              <w:ind w:left="0"/>
              <w:rPr>
                <w:color w:val="233544"/>
              </w:rPr>
            </w:pPr>
          </w:p>
          <w:p w:rsidR="0072721E" w:rsidRDefault="007F04EE">
            <w:pPr>
              <w:widowControl w:val="0"/>
              <w:spacing w:after="0"/>
              <w:ind w:left="0"/>
            </w:pPr>
            <w:r>
              <w:rPr>
                <w:b/>
              </w:rPr>
              <w:t>TCC17 recommended the Commission review, through an expedited inter-sessional decision-making process, the possible phasing in of the removal of the suspensions, which would need to be implemented flexibly and be subject to a periodic review in light of changed circumstances</w:t>
            </w:r>
            <w:r>
              <w:t xml:space="preserve"> - At TCC17, FFA members agreed in principle to a phased-in approach but did not support a uniform approach due to the different circumstances of FFA members. </w:t>
            </w:r>
          </w:p>
          <w:p w:rsidR="0072721E" w:rsidRDefault="0072721E">
            <w:pPr>
              <w:widowControl w:val="0"/>
              <w:spacing w:after="0"/>
              <w:ind w:left="0"/>
            </w:pPr>
          </w:p>
          <w:p w:rsidR="0072721E" w:rsidRDefault="007F04EE">
            <w:pPr>
              <w:widowControl w:val="0"/>
              <w:spacing w:after="0"/>
              <w:ind w:left="0"/>
            </w:pPr>
            <w:r>
              <w:t xml:space="preserve">There was also some support at TCC17 for addressing at-sea transhipment for purse seine vessels first, because in practice, the suspension of the prohibition on purse seine transhipments at sea applies only in limited circumstances where a port State has designated a particular area of the sea outside its internal waters and within its archipelagic waters or territorial sea for transhipments to take place. FFA Members to consider lifting the suspension of this prohibition so that it agains become mandatory for all purse seine transhipment to be conducted in port. </w:t>
            </w:r>
          </w:p>
          <w:p w:rsidR="0072721E" w:rsidRDefault="0072721E">
            <w:pPr>
              <w:widowControl w:val="0"/>
              <w:spacing w:after="0"/>
              <w:ind w:left="0"/>
            </w:pPr>
          </w:p>
          <w:p w:rsidR="0072721E" w:rsidRDefault="007F04EE">
            <w:pPr>
              <w:widowControl w:val="0"/>
              <w:spacing w:after="0"/>
              <w:ind w:left="0"/>
            </w:pPr>
            <w:r>
              <w:t>On the other two suspensions, i.e. observer coverage on purse seine vessels and transhipments at sea for non-purse seine vessels, FFA Members raised that there is too much uncertainty regarding the COVID-19 situation to be able to determine a timeframe for the lifting of the suspension of these obligations, noting that FFA Members did not support a uniform approach.</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FFA Members support the TCC17 recommendations to WCPFC18. </w:t>
            </w:r>
          </w:p>
          <w:p w:rsidR="0072721E" w:rsidRDefault="0072721E">
            <w:pPr>
              <w:widowControl w:val="0"/>
              <w:spacing w:after="0"/>
              <w:ind w:left="0"/>
            </w:pPr>
          </w:p>
          <w:p w:rsidR="0072721E" w:rsidRDefault="007F04EE">
            <w:pPr>
              <w:widowControl w:val="0"/>
              <w:spacing w:after="0"/>
              <w:ind w:left="0"/>
            </w:pPr>
            <w:r>
              <w:t xml:space="preserve">As a phased-in approach to lifting the suspensions, FFA Members to consider recommending that WCPFC18 remove the suspension of at sea transhipment for purse vessels. </w:t>
            </w:r>
          </w:p>
          <w:p w:rsidR="0072721E" w:rsidRDefault="0072721E">
            <w:pPr>
              <w:widowControl w:val="0"/>
              <w:spacing w:after="0"/>
              <w:ind w:left="0"/>
            </w:pPr>
          </w:p>
          <w:p w:rsidR="0072721E" w:rsidRDefault="007F04EE">
            <w:pPr>
              <w:widowControl w:val="0"/>
              <w:spacing w:after="0"/>
              <w:ind w:left="0"/>
            </w:pPr>
            <w:r>
              <w:t>FFA Members to also highlight that notwithstanding the temporary suspension of observer coverage requirements and noting that the suspension does not prevent the placement of observers on fishing vessels, few FFA Members continued to deploy observers on fishing vessels during the COVID-19 pandemic. Therefore FFA Members encourage CCMs that are able to start deploying observers back on their vessels and to work with observer providers to operationalise the Protocols in order to enable observers to be safely placed on fishing vessels again when it is safe to do so.</w:t>
            </w:r>
          </w:p>
        </w:tc>
      </w:tr>
    </w:tbl>
    <w:p w:rsidR="0072721E" w:rsidRDefault="0072721E">
      <w:pPr>
        <w:ind w:left="0"/>
      </w:pPr>
    </w:p>
    <w:p w:rsidR="0072721E" w:rsidRDefault="0072721E">
      <w:pPr>
        <w:pStyle w:val="Heading1"/>
        <w:spacing w:after="200"/>
        <w:jc w:val="left"/>
      </w:pPr>
      <w:bookmarkStart w:id="19" w:name="_w18wj913h3kr" w:colFirst="0" w:colLast="0"/>
      <w:bookmarkEnd w:id="19"/>
    </w:p>
    <w:p w:rsidR="0072721E" w:rsidRDefault="007F04EE">
      <w:pPr>
        <w:pStyle w:val="Heading1"/>
        <w:spacing w:after="200"/>
        <w:rPr>
          <w:rFonts w:ascii="Times New Roman" w:eastAsia="Times New Roman" w:hAnsi="Times New Roman" w:cs="Times New Roman"/>
          <w:color w:val="000000"/>
          <w:sz w:val="22"/>
          <w:szCs w:val="22"/>
        </w:rPr>
      </w:pPr>
      <w:bookmarkStart w:id="20" w:name="_j1z128jd3wg4" w:colFirst="0" w:colLast="0"/>
      <w:bookmarkEnd w:id="20"/>
      <w:r>
        <w:t>AGENDA ITEM 6</w:t>
      </w:r>
      <w:r>
        <w:tab/>
        <w:t>SPECIAL REQUIREMENTS OF DEVELOPING STATES</w:t>
      </w:r>
    </w:p>
    <w:p w:rsidR="0072721E" w:rsidRDefault="007F04EE">
      <w:pPr>
        <w:pStyle w:val="Heading2"/>
        <w:spacing w:after="200"/>
        <w:rPr>
          <w:i/>
          <w:sz w:val="18"/>
          <w:szCs w:val="18"/>
          <w:u w:val="single"/>
        </w:rPr>
      </w:pPr>
      <w:bookmarkStart w:id="21" w:name="_1ksv4uv" w:colFirst="0" w:colLast="0"/>
      <w:bookmarkEnd w:id="21"/>
      <w:r>
        <w:t>6.1</w:t>
      </w:r>
      <w:r>
        <w:tab/>
        <w:t xml:space="preserve">Implementation of Article 30 of WCPFC Convention and CMM 2013-07 (SIDS special requirements) </w:t>
      </w:r>
    </w:p>
    <w:p w:rsidR="0072721E" w:rsidRDefault="007F04EE">
      <w:pPr>
        <w:ind w:left="0"/>
        <w:rPr>
          <w:color w:val="000000"/>
        </w:rPr>
      </w:pPr>
      <w:r>
        <w:rPr>
          <w:i/>
          <w:sz w:val="18"/>
          <w:szCs w:val="18"/>
        </w:rPr>
        <w:t>CCMs reports on assistance and contributions to support the special requirements of developing States as envisaged by article 30 of the WCPF Convention and CMM 2013-07 will be taken as read, however, comments and questions on those reports may be entertained as necessary</w:t>
      </w:r>
    </w:p>
    <w:p w:rsidR="0072721E" w:rsidRDefault="0072721E">
      <w:pPr>
        <w:pStyle w:val="Heading1"/>
        <w:spacing w:after="200"/>
      </w:pPr>
      <w:bookmarkStart w:id="22" w:name="_gl4y4flvguxe" w:colFirst="0" w:colLast="0"/>
      <w:bookmarkEnd w:id="22"/>
    </w:p>
    <w:p w:rsidR="0072721E" w:rsidRDefault="007F04EE">
      <w:pPr>
        <w:pStyle w:val="Heading1"/>
        <w:spacing w:after="200"/>
        <w:ind w:left="0"/>
        <w:rPr>
          <w:i/>
          <w:sz w:val="18"/>
          <w:szCs w:val="18"/>
        </w:rPr>
      </w:pPr>
      <w:bookmarkStart w:id="23" w:name="_uekjh7k507ge" w:colFirst="0" w:colLast="0"/>
      <w:bookmarkEnd w:id="23"/>
      <w:r>
        <w:t>AGENDA ITEM 7</w:t>
      </w:r>
      <w:r>
        <w:tab/>
        <w:t>WCPO TUNA AND BILLFISH STOCK</w:t>
      </w:r>
    </w:p>
    <w:p w:rsidR="0072721E" w:rsidRDefault="0072721E">
      <w:pPr>
        <w:ind w:left="0"/>
      </w:pPr>
    </w:p>
    <w:tbl>
      <w:tblPr>
        <w:tblStyle w:val="aa"/>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sz w:val="24"/>
                <w:szCs w:val="24"/>
              </w:rPr>
            </w:pPr>
            <w:r>
              <w:rPr>
                <w:b/>
                <w:sz w:val="24"/>
                <w:szCs w:val="24"/>
              </w:rPr>
              <w:t>Primary Author</w:t>
            </w:r>
          </w:p>
          <w:p w:rsidR="0072721E" w:rsidRDefault="007F04EE">
            <w:pPr>
              <w:widowControl w:val="0"/>
              <w:spacing w:after="0"/>
              <w:ind w:left="0"/>
              <w:rPr>
                <w:b/>
                <w:sz w:val="24"/>
                <w:szCs w:val="24"/>
                <w:highlight w:val="yellow"/>
              </w:rPr>
            </w:pPr>
            <w:r>
              <w:rPr>
                <w:b/>
                <w:sz w:val="24"/>
                <w:szCs w:val="24"/>
                <w:highlight w:val="yellow"/>
              </w:rPr>
              <w:t>[SPC PRESENTATION]</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29">
              <w:r>
                <w:rPr>
                  <w:color w:val="0000EE"/>
                  <w:u w:val="single"/>
                </w:rPr>
                <w:t>Reuben Sulu</w:t>
              </w:r>
            </w:hyperlink>
            <w:r>
              <w:t xml:space="preserve"> </w:t>
            </w:r>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24" w:name="_rlamz5d82snt" w:colFirst="0" w:colLast="0"/>
            <w:bookmarkEnd w:id="24"/>
            <w:r>
              <w:t>7.2.1.1 Review target reference point for skipjack</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Commission will consider the advice and information from SC17 and the SSP on possible formulation of a target reference point for skipjack.</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30">
              <w:r>
                <w:rPr>
                  <w:color w:val="1155CC"/>
                  <w:u w:val="single"/>
                </w:rPr>
                <w:t>WCPFC18-2021-10</w:t>
              </w:r>
            </w:hyperlink>
            <w:r>
              <w:t>: Further updates to WCPO Skipjack tuna projected status to inform consideration of an updated TRP.</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In 2015, WCPFC  defined an interim target reference point  (iTRP) level for WCPO skipjack tuna at 50% of the estimated recent median spawning biomass in the absence of fishing (SSBF=0).</w:t>
            </w:r>
          </w:p>
          <w:p w:rsidR="0072721E" w:rsidRDefault="0072721E">
            <w:pPr>
              <w:widowControl w:val="0"/>
              <w:spacing w:after="0"/>
              <w:ind w:left="0"/>
            </w:pPr>
          </w:p>
          <w:p w:rsidR="0072721E" w:rsidRDefault="007F04EE">
            <w:pPr>
              <w:widowControl w:val="0"/>
              <w:spacing w:after="0"/>
              <w:ind w:left="0"/>
            </w:pPr>
            <w:r>
              <w:t xml:space="preserve">In 2019 a new assessment of the WCPO skipjack was agreed at SC15 which included a number of changes when compared to the previous assessment. These changed the perception of the status of the skipjack stock. </w:t>
            </w:r>
          </w:p>
          <w:p w:rsidR="0072721E" w:rsidRDefault="0072721E">
            <w:pPr>
              <w:widowControl w:val="0"/>
              <w:spacing w:after="0"/>
              <w:ind w:left="0"/>
            </w:pPr>
          </w:p>
          <w:p w:rsidR="0072721E" w:rsidRDefault="007F04EE">
            <w:pPr>
              <w:widowControl w:val="0"/>
              <w:spacing w:after="0"/>
              <w:ind w:left="0"/>
            </w:pPr>
            <w:r>
              <w:t>The TRP for skipjack remains an issue of contention among CCMs - there is still no agreement. A request for analysis of the candidate TRPs of 36%, 38%, 40%, 42%, 44%, 46%, 48% and 50% of SB</w:t>
            </w:r>
            <w:r>
              <w:rPr>
                <w:vertAlign w:val="subscript"/>
              </w:rPr>
              <w:t>F=0</w:t>
            </w:r>
            <w:r>
              <w:t xml:space="preserve"> along with corresponding Fishing mortality rates were requested from the SSP at SC16 and TTMW1. The results of these analyses are now available. This paper provides results of these analyses to inform members' consideration of a TRP.</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WCPFC11 agreed to Conservation and Management Measures to develop and implement a harvest strategy approach for key fisheries and stocks in the WCPO. The objective of the CMM 2014-06 is "To agree that the Commission shall develop and implement a harvest strategy approach for each of the key fisheries or stocks under the purview of the Commission according to the process set out in CMM 2014-06. Target reference points (TRP), Limit Reference Points (LRP), management procedures, estimation model,  harvest control rules (HCR) acceptable levels of risk form components of harvest strategy.</w:t>
            </w:r>
          </w:p>
          <w:p w:rsidR="0072721E" w:rsidRDefault="0072721E">
            <w:pPr>
              <w:widowControl w:val="0"/>
              <w:spacing w:after="0"/>
              <w:ind w:left="0"/>
            </w:pPr>
          </w:p>
          <w:p w:rsidR="0072721E" w:rsidRDefault="007F04EE">
            <w:pPr>
              <w:widowControl w:val="0"/>
              <w:spacing w:after="0"/>
              <w:ind w:left="0"/>
            </w:pPr>
            <w:r>
              <w:t>In 2015, WCPFC defined an interim target reference point  (iTRP) level for WCPO skipjack tuna at 50% of the estimated recent median spawning biomass in the absence of fishing (SSB</w:t>
            </w:r>
            <w:r>
              <w:rPr>
                <w:vertAlign w:val="subscript"/>
              </w:rPr>
              <w:t>F=0</w:t>
            </w:r>
            <w:r>
              <w:t>).</w:t>
            </w:r>
          </w:p>
          <w:p w:rsidR="0072721E" w:rsidRDefault="0072721E">
            <w:pPr>
              <w:widowControl w:val="0"/>
              <w:spacing w:after="0"/>
              <w:ind w:left="0"/>
            </w:pPr>
          </w:p>
          <w:p w:rsidR="0072721E" w:rsidRDefault="007F04EE">
            <w:pPr>
              <w:widowControl w:val="0"/>
              <w:spacing w:after="0"/>
              <w:ind w:left="0"/>
            </w:pPr>
            <w:r>
              <w:t>In 2019 a new assessment of the WCPO skipjack was agreed at SC15 which included a number of changes when compared to the previous assessment. These changes included: the incorporation of a new spatial structure, inclusion of new information on patterns of maturity of the stock and some new model settings. These changed the perception of the status of the skipjack stock status, necessitating a re-evaluation of the appropriate TRP for the stock. Essentially a new TRP of 42% was estimated which would achieve a similar objective relative to the intent underlying the original 50% TRP.</w:t>
            </w:r>
          </w:p>
          <w:p w:rsidR="0072721E" w:rsidRDefault="0072721E">
            <w:pPr>
              <w:widowControl w:val="0"/>
              <w:spacing w:after="0"/>
              <w:ind w:left="0"/>
            </w:pPr>
          </w:p>
          <w:p w:rsidR="0072721E" w:rsidRDefault="007F04EE">
            <w:pPr>
              <w:widowControl w:val="0"/>
              <w:spacing w:after="0"/>
              <w:ind w:left="0"/>
            </w:pPr>
            <w:r>
              <w:t xml:space="preserve">However some CCM’s did not support a revised TRP of 42%, including Japan who argued that maintaining 50% in the tropical fishery would increase abundance of SKJ for their domestic fisheries. </w:t>
            </w:r>
          </w:p>
          <w:p w:rsidR="0072721E" w:rsidRDefault="0072721E">
            <w:pPr>
              <w:widowControl w:val="0"/>
              <w:spacing w:after="0"/>
              <w:ind w:left="0"/>
            </w:pPr>
          </w:p>
          <w:p w:rsidR="0072721E" w:rsidRDefault="007F04EE">
            <w:pPr>
              <w:widowControl w:val="0"/>
              <w:spacing w:after="0"/>
              <w:ind w:left="0"/>
            </w:pPr>
            <w:r>
              <w:t xml:space="preserve">Nevertheless, discussions for the review of the TRP for skipjack began at SC16.  It was agreed that further analysis be considered by the Scientific Services Provider (SSP) and be discussed at SC16 and then be brought back to WCPFC 17 for consideration. </w:t>
            </w:r>
          </w:p>
          <w:p w:rsidR="0072721E" w:rsidRDefault="007F04EE">
            <w:pPr>
              <w:widowControl w:val="0"/>
              <w:spacing w:after="0"/>
              <w:ind w:left="0"/>
            </w:pPr>
            <w:r>
              <w:t xml:space="preserve">The  paper # </w:t>
            </w:r>
            <w:hyperlink r:id="rId31">
              <w:r>
                <w:rPr>
                  <w:color w:val="1155CC"/>
                  <w:u w:val="single"/>
                </w:rPr>
                <w:t xml:space="preserve">WCPFC17-2020-11 </w:t>
              </w:r>
            </w:hyperlink>
            <w:r>
              <w:t>was considered at WCPFC17 with CCMs agreeing  to further continue intersessional work to review and revise, as appropriate, a TRP for skipjack in the future.  The SSP was requested to provide analysis on a range of alternative candidate TRPs including  36%, 38% and 40% of SB</w:t>
            </w:r>
            <w:r>
              <w:rPr>
                <w:vertAlign w:val="subscript"/>
              </w:rPr>
              <w:t>F=0</w:t>
            </w:r>
            <w:r>
              <w:t xml:space="preserve">. </w:t>
            </w:r>
          </w:p>
          <w:p w:rsidR="0072721E" w:rsidRDefault="0072721E">
            <w:pPr>
              <w:widowControl w:val="0"/>
              <w:spacing w:after="0"/>
              <w:ind w:left="0"/>
            </w:pPr>
          </w:p>
          <w:p w:rsidR="0072721E" w:rsidRDefault="007F04EE">
            <w:pPr>
              <w:widowControl w:val="0"/>
              <w:spacing w:after="0"/>
              <w:ind w:left="0"/>
            </w:pPr>
            <w:r>
              <w:t xml:space="preserve"> Results of these requests were provided by SSP for consideration by CCMs at SC17 (</w:t>
            </w:r>
            <w:hyperlink r:id="rId32">
              <w:r>
                <w:rPr>
                  <w:color w:val="1155CC"/>
                  <w:u w:val="single"/>
                </w:rPr>
                <w:t>SC17-MI-WP-02 Further updates to WCPO skipjack tuna projected stock status to inform consideration of an updated TRP</w:t>
              </w:r>
            </w:hyperlink>
            <w:r>
              <w:t xml:space="preserve">). Further requests for analysis of the proposed additional candidate TRPs of 42%, 44%, 46%, 48% and 50%  were made by Korea at TTMW1.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numPr>
                <w:ilvl w:val="0"/>
                <w:numId w:val="4"/>
              </w:numPr>
            </w:pPr>
            <w:r>
              <w:t>The 2019 stock assessment is the most recent assessment for skipjack tuna and it incorporates new information which is based on the new spatial structure and new model settings. Similar to the 2017 stock assessment, this changed the perception of the stock and its productivity compared to the model upon which the skipjack iTRP was based (CMM 2015-06).</w:t>
            </w:r>
          </w:p>
          <w:p w:rsidR="0072721E" w:rsidRDefault="007F04EE">
            <w:pPr>
              <w:widowControl w:val="0"/>
              <w:numPr>
                <w:ilvl w:val="0"/>
                <w:numId w:val="4"/>
              </w:numPr>
            </w:pPr>
            <w:r>
              <w:t>Under ‘baseline’ (2012) levels, the stock is predicted on average to fall slightly compared to ‘recent’ (2015-2018)  levels to 42% SB</w:t>
            </w:r>
            <w:r>
              <w:rPr>
                <w:vertAlign w:val="subscript"/>
              </w:rPr>
              <w:t>F=0</w:t>
            </w:r>
            <w:r>
              <w:t>. If the depletion levels were to be set at the requested  depletion ratio of 50, 48, 46 and 44% of SB</w:t>
            </w:r>
            <w:r>
              <w:rPr>
                <w:vertAlign w:val="subscript"/>
              </w:rPr>
              <w:t>F=0</w:t>
            </w:r>
            <w:r>
              <w:t xml:space="preserve"> then this will imply reduction in purse seine effort from 2012 levels of 7-25% with a reduced yield to  between 75-95% of MSY and a predicted increase in biomass by 5 - 13%.</w:t>
            </w:r>
          </w:p>
          <w:p w:rsidR="0072721E" w:rsidRDefault="007F04EE">
            <w:pPr>
              <w:widowControl w:val="0"/>
              <w:numPr>
                <w:ilvl w:val="0"/>
                <w:numId w:val="4"/>
              </w:numPr>
            </w:pPr>
            <w:r>
              <w:t>For the depletion levels of 36, 38 and 40% of SB</w:t>
            </w:r>
            <w:r>
              <w:rPr>
                <w:vertAlign w:val="subscript"/>
              </w:rPr>
              <w:t>F=0</w:t>
            </w:r>
            <w:r>
              <w:t>. This will imply increases in purse seine effort of between 5-30% of 2012 levels and a predicted decrease in biomass from 5-14 of of SB</w:t>
            </w:r>
            <w:r>
              <w:rPr>
                <w:vertAlign w:val="subscript"/>
              </w:rPr>
              <w:t>F=0</w:t>
            </w:r>
            <w:r>
              <w:t>, with only a very slight increase in predicted equilibrium compared to 2012 levels.</w:t>
            </w:r>
          </w:p>
          <w:p w:rsidR="0072721E" w:rsidRDefault="007F04EE">
            <w:pPr>
              <w:widowControl w:val="0"/>
              <w:numPr>
                <w:ilvl w:val="0"/>
                <w:numId w:val="4"/>
              </w:numPr>
              <w:rPr>
                <w:color w:val="222222"/>
              </w:rPr>
            </w:pPr>
            <w:r>
              <w:t>Consideration of fishing mortality in the selection of a TRP is now adding a lot of complexities in the discussions on the TRP for skipjack.  The use of fishing mortality to manage fisheries will add complexities that fisheries managers may find difficult in implementing management measures.</w:t>
            </w:r>
          </w:p>
          <w:p w:rsidR="0072721E" w:rsidRDefault="007F04EE">
            <w:pPr>
              <w:widowControl w:val="0"/>
              <w:numPr>
                <w:ilvl w:val="0"/>
                <w:numId w:val="4"/>
              </w:numPr>
            </w:pPr>
            <w:r>
              <w:t>In WCPFC18-2021-10 the SSP notes that interpretation of the results of the analysis of fishing mortality   under  each  candidate depletion level is challenging given that future fishing mortality is strongly influenced by the required settings within the projection, in particular that future domestic fishery and pole-and-line catches continue  at set  levels (2016-2018and 2012respectively), while purse seine is projected on effort. The composition of gears within the projected fishery and their impacts on the stock will therefore change relative to that in the historical (2012) period.</w:t>
            </w:r>
          </w:p>
          <w:p w:rsidR="0072721E" w:rsidRDefault="007F04EE">
            <w:pPr>
              <w:widowControl w:val="0"/>
              <w:numPr>
                <w:ilvl w:val="0"/>
                <w:numId w:val="4"/>
              </w:numPr>
              <w:rPr>
                <w:color w:val="222222"/>
              </w:rPr>
            </w:pPr>
            <w:r>
              <w:rPr>
                <w:color w:val="222222"/>
              </w:rPr>
              <w:t>Some CCMs consider the iTRP of 50% to remain in effect, as the review of this iTRP did not result in any revision.</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FFA Members are to support the continued use of depletion levels as an appropriate means to set TRP because it is better understood by managers and the current approach in the use of depletion levels is working well as shown by the stock status reviews for all the main tuna species caught in the WCPO. </w:t>
            </w:r>
          </w:p>
          <w:p w:rsidR="0072721E" w:rsidRDefault="0072721E">
            <w:pPr>
              <w:widowControl w:val="0"/>
              <w:spacing w:after="0"/>
              <w:ind w:left="0"/>
            </w:pPr>
          </w:p>
          <w:p w:rsidR="0072721E" w:rsidRDefault="007F04EE">
            <w:pPr>
              <w:widowControl w:val="0"/>
              <w:spacing w:after="0"/>
              <w:ind w:left="0"/>
            </w:pPr>
            <w:r>
              <w:t>It is recommended that a new iTRP at or near 42% be supported, based on current analysis, this will maintain purse seine effort levels at the 2012 levels but reduce spawning biomass levels at 2012 by only 2%. However, this is unlikely to be resolved at WCPFC18 and deferred to 2022 as the Commission focus moves from TTM back to Harvest Strategy development.</w:t>
            </w:r>
          </w:p>
        </w:tc>
      </w:tr>
    </w:tbl>
    <w:p w:rsidR="0072721E" w:rsidRDefault="0072721E">
      <w:pPr>
        <w:ind w:left="0"/>
      </w:pPr>
    </w:p>
    <w:p w:rsidR="0072721E" w:rsidRDefault="007F04EE">
      <w:pPr>
        <w:ind w:left="0"/>
      </w:pPr>
      <w:r>
        <w:pict>
          <v:rect id="_x0000_i1030" style="width:0;height:1.5pt" o:hralign="center" o:hrstd="t" o:hr="t" fillcolor="#a0a0a0" stroked="f"/>
        </w:pict>
      </w:r>
    </w:p>
    <w:p w:rsidR="0072721E" w:rsidRDefault="0072721E">
      <w:pPr>
        <w:ind w:left="0"/>
      </w:pPr>
    </w:p>
    <w:tbl>
      <w:tblPr>
        <w:tblStyle w:val="ab"/>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sz w:val="24"/>
                <w:szCs w:val="24"/>
              </w:rPr>
            </w:pPr>
            <w:r>
              <w:rPr>
                <w:b/>
                <w:sz w:val="24"/>
                <w:szCs w:val="24"/>
              </w:rPr>
              <w:t>Primary Author</w:t>
            </w:r>
          </w:p>
          <w:p w:rsidR="0072721E" w:rsidRDefault="007F04EE">
            <w:pPr>
              <w:widowControl w:val="0"/>
              <w:spacing w:after="0"/>
              <w:ind w:left="0"/>
              <w:rPr>
                <w:b/>
                <w:sz w:val="24"/>
                <w:szCs w:val="24"/>
                <w:highlight w:val="yellow"/>
              </w:rPr>
            </w:pPr>
            <w:r>
              <w:rPr>
                <w:b/>
                <w:sz w:val="24"/>
                <w:szCs w:val="24"/>
                <w:highlight w:val="yellow"/>
              </w:rPr>
              <w:t>[SPC PRESENTATION]</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33">
              <w:r>
                <w:rPr>
                  <w:color w:val="0000EE"/>
                  <w:u w:val="single"/>
                </w:rPr>
                <w:t>Lianos Triantafillos</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25" w:name="_s7riyg70lifz" w:colFirst="0" w:colLast="0"/>
            <w:bookmarkEnd w:id="25"/>
            <w:r>
              <w:t>7.2.1.2 Review target reference point (TRP) for bigeye and yellowfin</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spacing w:after="0"/>
              <w:ind w:left="0"/>
            </w:pPr>
            <w:r>
              <w:t>The Commission will consider the advice and information from SC17 and the Scientific Services Provider (SSP) on possible formulation of target reference points for bigeye and yellowfin, including the results of further analysis requested by SC17 related to the impact of candidate bigeye and yellowfin TRPs on the SP albacore stock (paragraph 85, SC17 Outcomes Document).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34">
              <w:r>
                <w:rPr>
                  <w:color w:val="1155CC"/>
                  <w:u w:val="single"/>
                </w:rPr>
                <w:t>WCPFC18-2021-11</w:t>
              </w:r>
            </w:hyperlink>
            <w:hyperlink r:id="rId35">
              <w:r>
                <w:rPr>
                  <w:color w:val="1155CC"/>
                  <w:u w:val="single"/>
                </w:rPr>
                <w:t xml:space="preserve"> - Updated WCPO bigeye and yellowfin TRP evaluations.</w:t>
              </w:r>
            </w:hyperlink>
          </w:p>
          <w:p w:rsidR="0072721E" w:rsidRDefault="007F04EE">
            <w:pPr>
              <w:widowControl w:val="0"/>
              <w:spacing w:after="0"/>
              <w:ind w:left="0"/>
            </w:pPr>
            <w:hyperlink r:id="rId36">
              <w:r>
                <w:rPr>
                  <w:color w:val="1155CC"/>
                  <w:u w:val="single"/>
                </w:rPr>
                <w:t>WCPFC18-2021-SC17 - SC17 Summary Report for adoption on 11 Nov 2021</w:t>
              </w:r>
            </w:hyperlink>
          </w:p>
          <w:p w:rsidR="0072721E" w:rsidRDefault="007F04EE">
            <w:pPr>
              <w:widowControl w:val="0"/>
              <w:spacing w:after="0"/>
              <w:ind w:left="0"/>
            </w:pPr>
            <w:hyperlink r:id="rId37">
              <w:r>
                <w:rPr>
                  <w:color w:val="1155CC"/>
                  <w:u w:val="single"/>
                </w:rPr>
                <w:t>WCPFC18-2021-11</w:t>
              </w:r>
            </w:hyperlink>
            <w:hyperlink r:id="rId38">
              <w:r>
                <w:rPr>
                  <w:color w:val="1155CC"/>
                  <w:u w:val="single"/>
                </w:rPr>
                <w:t xml:space="preserve"> -Reference document for bigeye, yellowfin and skipjack tuna for the review of CMM 2020-21 and development of harvest strategies under CMM 2014-06.</w:t>
              </w:r>
            </w:hyperlink>
          </w:p>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paper </w:t>
            </w:r>
            <w:hyperlink r:id="rId39">
              <w:r>
                <w:rPr>
                  <w:color w:val="1155CC"/>
                  <w:u w:val="single"/>
                </w:rPr>
                <w:t>WCPFC18-2021-11</w:t>
              </w:r>
            </w:hyperlink>
            <w:r>
              <w:t xml:space="preserve"> presents results of analyses requested by SC16, WPFC17 and SC17 to assist WCPFC18 in the identification of interim TRPs for WCPO bigeye and yellowfin tuna stocks. It presents the consequences for each stock and fishery of SC16-defined stock depletion levels (</w:t>
            </w:r>
            <w:r>
              <w:rPr>
                <w:i/>
              </w:rPr>
              <w:t>SB/SB</w:t>
            </w:r>
            <w:r>
              <w:rPr>
                <w:i/>
                <w:vertAlign w:val="subscript"/>
              </w:rPr>
              <w:t>F=0</w:t>
            </w:r>
            <w:r>
              <w:t>) consistent with specified historical conditions and stock risk levels (paragraphs 76 to 78, SC16 Outcomes Document).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spacing w:after="0"/>
              <w:ind w:left="0"/>
            </w:pPr>
            <w:r>
              <w:t xml:space="preserve">While interim TRPs have been adopted for South Pacific albacore and skipjack tuna, discussions and analyses for bigeye and yellowfin tuna have not progressed past identification of ‘minimum’ TRP levels that are consistent with specified risks of the stock falling below the limit reference point (LRP). </w:t>
            </w:r>
          </w:p>
          <w:p w:rsidR="0072721E" w:rsidRDefault="0072721E">
            <w:pPr>
              <w:spacing w:after="0"/>
              <w:ind w:left="0"/>
            </w:pPr>
          </w:p>
          <w:p w:rsidR="0072721E" w:rsidRDefault="007F04EE">
            <w:pPr>
              <w:widowControl w:val="0"/>
              <w:spacing w:after="0"/>
              <w:ind w:left="0"/>
              <w:rPr>
                <w:highlight w:val="yellow"/>
              </w:rPr>
            </w:pPr>
            <w:r>
              <w:t>CMM-2020-01 provides that pending agreement on a target reference point, the spawning biomass depletion ratio (</w:t>
            </w:r>
            <w:r>
              <w:rPr>
                <w:i/>
              </w:rPr>
              <w:t>SB/SB</w:t>
            </w:r>
            <w:r>
              <w:rPr>
                <w:i/>
                <w:vertAlign w:val="subscript"/>
              </w:rPr>
              <w:t>F=0</w:t>
            </w:r>
            <w:r>
              <w:t>) for both bigeye and yellowfin tuna is to be maintained at or above the average S</w:t>
            </w:r>
            <w:r>
              <w:rPr>
                <w:i/>
              </w:rPr>
              <w:t>B/SB</w:t>
            </w:r>
            <w:r>
              <w:rPr>
                <w:i/>
                <w:vertAlign w:val="subscript"/>
              </w:rPr>
              <w:t>F=0</w:t>
            </w:r>
            <w:r>
              <w:rPr>
                <w:vertAlign w:val="subscript"/>
              </w:rPr>
              <w:t xml:space="preserve"> </w:t>
            </w:r>
            <w:r>
              <w:t xml:space="preserve">for 2012-2015. This measure provides some guidance against which candidate TRP levels can be viewed. </w:t>
            </w:r>
          </w:p>
          <w:p w:rsidR="0072721E" w:rsidRDefault="0072721E">
            <w:pPr>
              <w:widowControl w:val="0"/>
              <w:spacing w:after="0"/>
              <w:ind w:left="0"/>
            </w:pPr>
          </w:p>
          <w:p w:rsidR="0072721E" w:rsidRDefault="007F04EE">
            <w:pPr>
              <w:widowControl w:val="0"/>
              <w:spacing w:after="0"/>
              <w:ind w:left="0"/>
            </w:pPr>
            <w:r>
              <w:t>In 2020, new assessments of the WCPO bigeye and yellowfin tuna stocks were discussed and agreed at SC16. These assessments incorporated a number of changes when compared to the previous stock assessments, including new information on the biological characteristics of the stocks. For yellowfin tuna, in particular, the incorporation of this new information changed the perception of the status of this stock.</w:t>
            </w:r>
          </w:p>
          <w:p w:rsidR="0072721E" w:rsidRDefault="0072721E">
            <w:pPr>
              <w:widowControl w:val="0"/>
              <w:spacing w:after="0"/>
              <w:ind w:left="0"/>
            </w:pPr>
          </w:p>
          <w:p w:rsidR="0072721E" w:rsidRDefault="007F04EE">
            <w:pPr>
              <w:widowControl w:val="0"/>
              <w:spacing w:after="0"/>
              <w:ind w:left="0"/>
            </w:pPr>
            <w:r>
              <w:t xml:space="preserve">The Harvest Strategy Work Plan provides that the Scientific Committee should offer advice in 2020 on a range of issues pertaining to the formulation of a TRP for bigeye and yellowfin tuna, and the Commission considers that advice. To this end, SC16 requested that the Scientific Services Provider (SSP) undertake analyses to inform discussions at WCPFC17 on these issues (paragraphs 76 to 78, SC16 outcomes document). </w:t>
            </w:r>
          </w:p>
          <w:p w:rsidR="0072721E" w:rsidRDefault="0072721E">
            <w:pPr>
              <w:widowControl w:val="0"/>
              <w:spacing w:after="0"/>
              <w:ind w:left="0"/>
            </w:pPr>
          </w:p>
          <w:p w:rsidR="0072721E" w:rsidRDefault="007F04EE">
            <w:pPr>
              <w:widowControl w:val="0"/>
              <w:spacing w:after="0"/>
              <w:ind w:left="0"/>
            </w:pPr>
            <w:r>
              <w:t xml:space="preserve">In response to a request from WCPFC17, additional analyses were conducted to facilitate multi-species implications of harvest levels that achieve the different TRPs for each species (yellowfin tuna; and bigeye tuna under two recruitment assumptions). SC17 noted that South Pacific albacore had not been included in the TRP evaluations and asked the SSP to update this report to include this species in future evaluations. This paper presents the results of those analyses. </w:t>
            </w:r>
          </w:p>
          <w:p w:rsidR="0072721E" w:rsidRDefault="0072721E">
            <w:pPr>
              <w:widowControl w:val="0"/>
              <w:spacing w:after="0"/>
              <w:ind w:left="0"/>
            </w:pPr>
          </w:p>
          <w:p w:rsidR="0072721E" w:rsidRDefault="007F04EE">
            <w:pPr>
              <w:widowControl w:val="0"/>
              <w:spacing w:after="0"/>
              <w:ind w:left="0"/>
            </w:pPr>
            <w:r>
              <w:t>For these analyses, stocks were projected into the future for 30 years using the most recent (2020) stock assessments for bigeye and yellowfin tuna. Two different recruitment scenarios (i.e. recent and long-term) were assumed for bigeye (with recent recruitment considered to be at a much higher level than the long-term average) and three depletion levels were analysed. These were:</w:t>
            </w:r>
          </w:p>
          <w:p w:rsidR="0072721E" w:rsidRDefault="007F04EE">
            <w:pPr>
              <w:widowControl w:val="0"/>
              <w:numPr>
                <w:ilvl w:val="0"/>
                <w:numId w:val="60"/>
              </w:numPr>
              <w:spacing w:after="0"/>
            </w:pPr>
            <w:r>
              <w:t>levels relative to 2012-2015 average stock sizes.</w:t>
            </w:r>
          </w:p>
          <w:p w:rsidR="0072721E" w:rsidRDefault="007F04EE">
            <w:pPr>
              <w:widowControl w:val="0"/>
              <w:numPr>
                <w:ilvl w:val="0"/>
                <w:numId w:val="60"/>
              </w:numPr>
              <w:spacing w:after="0"/>
            </w:pPr>
            <w:r>
              <w:t>levels relative to 2000-2004 average stock sizes.</w:t>
            </w:r>
          </w:p>
          <w:p w:rsidR="0072721E" w:rsidRDefault="007F04EE">
            <w:pPr>
              <w:widowControl w:val="0"/>
              <w:numPr>
                <w:ilvl w:val="0"/>
                <w:numId w:val="60"/>
              </w:numPr>
              <w:spacing w:after="0"/>
            </w:pPr>
            <w:r>
              <w:t>levels related to the risk of falling below the LRP (10% &amp; 20% risk).</w:t>
            </w:r>
          </w:p>
          <w:p w:rsidR="0072721E" w:rsidRDefault="0072721E">
            <w:pPr>
              <w:widowControl w:val="0"/>
              <w:spacing w:after="0"/>
              <w:ind w:left="0"/>
              <w:rPr>
                <w:highlight w:val="yellow"/>
              </w:rPr>
            </w:pPr>
          </w:p>
          <w:p w:rsidR="0072721E" w:rsidRDefault="007F04EE">
            <w:pPr>
              <w:widowControl w:val="0"/>
              <w:spacing w:after="0"/>
              <w:ind w:left="0"/>
            </w:pPr>
            <w:r>
              <w:t>For each depletion level, results indicate changes in biomass from both 2012-2015 and recent (2015-2018 average) levels, changes in fishing from baseline levels (2016-2018 average), median equilibrium yield (as a proportion of maximum sustainable yield), risk relative to the agreed LRP, and SC16-requested per-recruit metrics.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tcMar>
              <w:top w:w="100" w:type="dxa"/>
              <w:left w:w="100" w:type="dxa"/>
              <w:bottom w:w="100" w:type="dxa"/>
              <w:right w:w="100" w:type="dxa"/>
            </w:tcMar>
          </w:tcPr>
          <w:p w:rsidR="0072721E" w:rsidRDefault="007F04EE">
            <w:pPr>
              <w:spacing w:after="0"/>
              <w:ind w:left="0"/>
              <w:rPr>
                <w:u w:val="single"/>
              </w:rPr>
            </w:pPr>
            <w:r>
              <w:rPr>
                <w:u w:val="single"/>
              </w:rPr>
              <w:t xml:space="preserve">Baseline levels (2016-18 average levels) </w:t>
            </w:r>
          </w:p>
          <w:p w:rsidR="0072721E" w:rsidRDefault="007F04EE">
            <w:pPr>
              <w:spacing w:after="0"/>
              <w:ind w:left="0"/>
              <w:rPr>
                <w:rFonts w:ascii="Times New Roman" w:eastAsia="Times New Roman" w:hAnsi="Times New Roman" w:cs="Times New Roman"/>
              </w:rPr>
            </w:pPr>
            <w:r>
              <w:t>The depletion levels that would result in 2048, assuming baseline fishing levels(i.e. 2016-18 average) in all fisheries are:</w:t>
            </w:r>
          </w:p>
          <w:p w:rsidR="0072721E" w:rsidRDefault="007F04EE">
            <w:pPr>
              <w:numPr>
                <w:ilvl w:val="0"/>
                <w:numId w:val="3"/>
              </w:numPr>
              <w:spacing w:after="0"/>
            </w:pPr>
            <w:r>
              <w:rPr>
                <w:b/>
              </w:rPr>
              <w:t xml:space="preserve">Bigeye tuna : </w:t>
            </w:r>
            <w:r>
              <w:t>0.48</w:t>
            </w:r>
            <w:r>
              <w:rPr>
                <w:i/>
              </w:rPr>
              <w:t>SB</w:t>
            </w:r>
            <w:r>
              <w:rPr>
                <w:i/>
                <w:vertAlign w:val="subscript"/>
              </w:rPr>
              <w:t xml:space="preserve">F=0 </w:t>
            </w:r>
            <w:r>
              <w:t>(recent recruitment)</w:t>
            </w:r>
          </w:p>
          <w:p w:rsidR="0072721E" w:rsidRDefault="007F04EE">
            <w:pPr>
              <w:spacing w:after="0"/>
              <w:ind w:left="1440"/>
              <w:rPr>
                <w:rFonts w:ascii="Times New Roman" w:eastAsia="Times New Roman" w:hAnsi="Times New Roman" w:cs="Times New Roman"/>
              </w:rPr>
            </w:pPr>
            <w:r>
              <w:t>0.43</w:t>
            </w:r>
            <w:r>
              <w:rPr>
                <w:i/>
              </w:rPr>
              <w:t>SB</w:t>
            </w:r>
            <w:r>
              <w:rPr>
                <w:i/>
                <w:vertAlign w:val="subscript"/>
              </w:rPr>
              <w:t xml:space="preserve">F=0 </w:t>
            </w:r>
            <w:r>
              <w:t>(long-term recruitment)</w:t>
            </w:r>
          </w:p>
          <w:p w:rsidR="0072721E" w:rsidRDefault="007F04EE">
            <w:pPr>
              <w:numPr>
                <w:ilvl w:val="0"/>
                <w:numId w:val="35"/>
              </w:numPr>
              <w:spacing w:after="0"/>
            </w:pPr>
            <w:r>
              <w:rPr>
                <w:b/>
              </w:rPr>
              <w:t xml:space="preserve">Yellowfin tuna: </w:t>
            </w:r>
            <w:r>
              <w:t>0.59</w:t>
            </w:r>
            <w:r>
              <w:rPr>
                <w:i/>
              </w:rPr>
              <w:t>SB</w:t>
            </w:r>
            <w:r>
              <w:rPr>
                <w:i/>
                <w:vertAlign w:val="subscript"/>
              </w:rPr>
              <w:t>F=0</w:t>
            </w:r>
          </w:p>
          <w:p w:rsidR="0072721E" w:rsidRDefault="007F04EE">
            <w:pPr>
              <w:numPr>
                <w:ilvl w:val="0"/>
                <w:numId w:val="35"/>
              </w:numPr>
              <w:spacing w:after="0"/>
            </w:pPr>
            <w:r>
              <w:rPr>
                <w:b/>
              </w:rPr>
              <w:t>Skipjack tuna:</w:t>
            </w:r>
            <w:r>
              <w:t xml:space="preserve"> 0.43</w:t>
            </w:r>
            <w:r>
              <w:rPr>
                <w:i/>
              </w:rPr>
              <w:t>SB</w:t>
            </w:r>
            <w:r>
              <w:rPr>
                <w:i/>
                <w:vertAlign w:val="subscript"/>
              </w:rPr>
              <w:t>F=0</w:t>
            </w:r>
          </w:p>
          <w:p w:rsidR="0072721E" w:rsidRDefault="007F04EE">
            <w:pPr>
              <w:numPr>
                <w:ilvl w:val="0"/>
                <w:numId w:val="35"/>
              </w:numPr>
              <w:spacing w:after="0"/>
            </w:pPr>
            <w:r>
              <w:rPr>
                <w:b/>
              </w:rPr>
              <w:t>South Pacific albacore:</w:t>
            </w:r>
            <w:r>
              <w:t xml:space="preserve"> 0.43</w:t>
            </w:r>
            <w:r>
              <w:rPr>
                <w:i/>
              </w:rPr>
              <w:t>SB</w:t>
            </w:r>
            <w:r>
              <w:rPr>
                <w:i/>
                <w:vertAlign w:val="subscript"/>
              </w:rPr>
              <w:t>F=0</w:t>
            </w:r>
          </w:p>
          <w:p w:rsidR="0072721E" w:rsidRDefault="0072721E">
            <w:pPr>
              <w:spacing w:after="0"/>
              <w:ind w:left="0"/>
              <w:rPr>
                <w:rFonts w:ascii="Times New Roman" w:eastAsia="Times New Roman" w:hAnsi="Times New Roman" w:cs="Times New Roman"/>
                <w:highlight w:val="yellow"/>
              </w:rPr>
            </w:pPr>
          </w:p>
          <w:p w:rsidR="0072721E" w:rsidRDefault="007F04EE">
            <w:pPr>
              <w:widowControl w:val="0"/>
              <w:spacing w:after="0"/>
              <w:ind w:left="0"/>
            </w:pPr>
            <w:r>
              <w:t>Under these baseline fishing levels, both bigeye and yellowfin tuna stocks were projected to increase relative to 2012-2015 average levels, and either remain at recent (2015-2018 average) levels (yellowfin) or increase (bigeye).</w:t>
            </w:r>
          </w:p>
          <w:p w:rsidR="0072721E" w:rsidRDefault="0072721E">
            <w:pPr>
              <w:spacing w:after="0"/>
              <w:ind w:left="0"/>
              <w:rPr>
                <w:u w:val="single"/>
              </w:rPr>
            </w:pPr>
          </w:p>
          <w:p w:rsidR="0072721E" w:rsidRDefault="007F04EE">
            <w:pPr>
              <w:spacing w:after="0"/>
              <w:ind w:left="0"/>
              <w:rPr>
                <w:rFonts w:ascii="Times New Roman" w:eastAsia="Times New Roman" w:hAnsi="Times New Roman" w:cs="Times New Roman"/>
              </w:rPr>
            </w:pPr>
            <w:r>
              <w:rPr>
                <w:u w:val="single"/>
              </w:rPr>
              <w:t>Levels relative to 2012-2015 average stock sizes</w:t>
            </w:r>
          </w:p>
          <w:p w:rsidR="0072721E" w:rsidRDefault="007F04EE">
            <w:pPr>
              <w:spacing w:after="0"/>
              <w:ind w:left="0"/>
            </w:pPr>
            <w:r>
              <w:t>Achieving the spawning biomass depletion ratio (</w:t>
            </w:r>
            <w:r>
              <w:rPr>
                <w:i/>
              </w:rPr>
              <w:t>SB/SB</w:t>
            </w:r>
            <w:r>
              <w:rPr>
                <w:i/>
                <w:vertAlign w:val="subscript"/>
              </w:rPr>
              <w:t>F=0</w:t>
            </w:r>
            <w:r>
              <w:t>)</w:t>
            </w:r>
            <w:r>
              <w:rPr>
                <w:i/>
                <w:vertAlign w:val="subscript"/>
              </w:rPr>
              <w:t xml:space="preserve"> </w:t>
            </w:r>
            <w:r>
              <w:t xml:space="preserve">at or above the average </w:t>
            </w:r>
            <w:r>
              <w:rPr>
                <w:i/>
              </w:rPr>
              <w:t>SB/SB</w:t>
            </w:r>
            <w:r>
              <w:rPr>
                <w:i/>
                <w:vertAlign w:val="subscript"/>
              </w:rPr>
              <w:t xml:space="preserve">F=0 </w:t>
            </w:r>
            <w:r>
              <w:t xml:space="preserve">for 2012-15 for bigeye tuna (as provided in CMM 2020-01) implied increases in fishing from 2016-2018 levels by 38% (recent recruitment) and 22% (long-term recruitment) and a risk of falling below the LRP of 3% and 14% (assuming recent and long-term recruitment, respectively). For yellowfin tuna, it implied an increase in fishing by 29% from 2016-2018 levels and no calculated risk of falling below the LRP. </w:t>
            </w:r>
          </w:p>
          <w:p w:rsidR="0072721E" w:rsidRDefault="0072721E">
            <w:pPr>
              <w:spacing w:after="0"/>
              <w:ind w:left="0"/>
              <w:rPr>
                <w:rFonts w:ascii="Times New Roman" w:eastAsia="Times New Roman" w:hAnsi="Times New Roman" w:cs="Times New Roman"/>
              </w:rPr>
            </w:pPr>
          </w:p>
          <w:p w:rsidR="0072721E" w:rsidRDefault="007F04EE">
            <w:pPr>
              <w:spacing w:after="0"/>
              <w:ind w:left="0"/>
              <w:rPr>
                <w:rFonts w:ascii="Times New Roman" w:eastAsia="Times New Roman" w:hAnsi="Times New Roman" w:cs="Times New Roman"/>
              </w:rPr>
            </w:pPr>
            <w:r>
              <w:rPr>
                <w:u w:val="single"/>
              </w:rPr>
              <w:t>Levels relative to 2000-2004 average stock sizes</w:t>
            </w:r>
          </w:p>
          <w:p w:rsidR="0072721E" w:rsidRDefault="007F04EE">
            <w:pPr>
              <w:spacing w:after="0"/>
              <w:ind w:left="0"/>
              <w:rPr>
                <w:rFonts w:ascii="Times New Roman" w:eastAsia="Times New Roman" w:hAnsi="Times New Roman" w:cs="Times New Roman"/>
              </w:rPr>
            </w:pPr>
            <w:r>
              <w:t xml:space="preserve">To achieve the depletion level for bigeye tuna equivalent to 2000-04 average levels required fishing to be reduced by 4% (recent recruitment) or 17% (long-term recruitment), and resulted in a minimal (1% assuming long-term recruitment) risk of falling below the LRP. For yellowfin tuna, 2000-2004 average depletion levels implied increasing fishing by 34% from baseline levels, and there was no risk of falling below the LRP calculated at that level. </w:t>
            </w:r>
          </w:p>
          <w:p w:rsidR="0072721E" w:rsidRDefault="0072721E">
            <w:pPr>
              <w:spacing w:after="0"/>
              <w:ind w:left="0"/>
              <w:rPr>
                <w:rFonts w:ascii="Times New Roman" w:eastAsia="Times New Roman" w:hAnsi="Times New Roman" w:cs="Times New Roman"/>
              </w:rPr>
            </w:pPr>
          </w:p>
          <w:p w:rsidR="0072721E" w:rsidRDefault="007F04EE">
            <w:pPr>
              <w:spacing w:after="0"/>
              <w:ind w:left="0"/>
              <w:rPr>
                <w:rFonts w:ascii="Times New Roman" w:eastAsia="Times New Roman" w:hAnsi="Times New Roman" w:cs="Times New Roman"/>
              </w:rPr>
            </w:pPr>
            <w:r>
              <w:rPr>
                <w:u w:val="single"/>
              </w:rPr>
              <w:t>Depletion levels equivalent 10% and 20% risk of falling below the LRP</w:t>
            </w:r>
          </w:p>
          <w:p w:rsidR="0072721E" w:rsidRDefault="007F04EE">
            <w:pPr>
              <w:spacing w:after="0"/>
              <w:ind w:left="0"/>
            </w:pPr>
            <w:r>
              <w:t xml:space="preserve">Achieving depletion levels consistent with a 10% and 20% risk of falling below the LRP for bigeye tuna implied increases in fishing by 55% and 70% (recent recruitment) and 12% and 33% (long-term recruitment), respectively. Under recent recruitment levels, those risk levels were achieved at stock sizes 12-23% lower than 2012-2015 levels. Under the less productive long-term recruitment assumption those risk levels implied a 6% less depleted stock and 10% more depleted stock respectively, relative to 2012-2015 average depletion. For yellowfin tuna, significantly greater levels of future purse seine and longline fishing were required to drive the stock to levels where risk of falling below the LRP increased. For instance, a 200% in purse seine effort and longline catch was required to achieve a 10% risk level of falling below the LRP. As this was considered unrealistic, a 20% risk-based depletion level was therefore not pursued further for this stock. </w:t>
            </w:r>
          </w:p>
          <w:p w:rsidR="0072721E" w:rsidRDefault="0072721E">
            <w:pPr>
              <w:spacing w:after="0"/>
              <w:ind w:left="0"/>
            </w:pPr>
          </w:p>
          <w:p w:rsidR="0072721E" w:rsidRDefault="007F04EE">
            <w:pPr>
              <w:spacing w:after="0"/>
              <w:ind w:left="0"/>
            </w:pPr>
            <w:r>
              <w:t>When analysing the bigeye tuna stock assessment, SC16 noted that levels of fishing mortality and depletion differ among regions for bigeye tuna, and that fishery impact was higher in the tropical regions, with particularly high fishing mortality on juvenile bigeye tuna in these regions. There is also evidence that the overall stock status is buffered with biomass kept at a more elevated level overall by low exploitation in the temperate regions. As a result, SC16 re-iterated that WCPFC17 could continue to consider measures to reduce fishing mortality from fisheries that take juveniles, with the goal to increase bigeye tuna fishery yields and reduce any further impacts on the spawning biomass for this stock in the tropical regions.</w:t>
            </w:r>
          </w:p>
          <w:p w:rsidR="0072721E" w:rsidRDefault="0072721E">
            <w:pPr>
              <w:spacing w:after="0"/>
              <w:ind w:left="0"/>
            </w:pPr>
          </w:p>
          <w:p w:rsidR="0072721E" w:rsidRDefault="007F04EE">
            <w:pPr>
              <w:spacing w:after="0"/>
              <w:ind w:left="0"/>
            </w:pPr>
            <w:r>
              <w:t xml:space="preserve">Based on these results, SC16 recommended as a precautionary approach that the fishing mortality on bigeye tuna stock should not be increased from the level that maintains spawning biomass at 2012-2015 levels until the Commission can agree on an appropriate TRP (see paragraph 18 of Attachment A in </w:t>
            </w:r>
            <w:hyperlink r:id="rId40">
              <w:r>
                <w:rPr>
                  <w:color w:val="1155CC"/>
                  <w:u w:val="single"/>
                </w:rPr>
                <w:t>WCPFC18-2021-11</w:t>
              </w:r>
            </w:hyperlink>
            <w:r>
              <w:t xml:space="preserve">). A similar conclusion was reached for yellowfin tuna (see paragraph 17 of Attachment B in </w:t>
            </w:r>
            <w:hyperlink r:id="rId41">
              <w:r>
                <w:rPr>
                  <w:color w:val="1155CC"/>
                  <w:u w:val="single"/>
                </w:rPr>
                <w:t>WCPFC18-2021-11</w:t>
              </w:r>
            </w:hyperlink>
            <w:r>
              <w:t>).</w:t>
            </w:r>
          </w:p>
          <w:p w:rsidR="0072721E" w:rsidRDefault="0072721E">
            <w:pPr>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tcMar>
              <w:top w:w="100" w:type="dxa"/>
              <w:left w:w="100" w:type="dxa"/>
              <w:bottom w:w="100" w:type="dxa"/>
              <w:right w:w="100" w:type="dxa"/>
            </w:tcMar>
          </w:tcPr>
          <w:p w:rsidR="0072721E" w:rsidRDefault="007F04EE">
            <w:pPr>
              <w:spacing w:after="0"/>
              <w:ind w:left="0"/>
            </w:pPr>
            <w:r>
              <w:t>Given it is likely that more time will be needed for the Commission to come to an agreement on TRPs for bigeye and yellowfin tuna, it is recommended that FFA members:</w:t>
            </w:r>
          </w:p>
          <w:p w:rsidR="0072721E" w:rsidRDefault="007F04EE">
            <w:pPr>
              <w:numPr>
                <w:ilvl w:val="0"/>
                <w:numId w:val="29"/>
              </w:numPr>
              <w:spacing w:after="0"/>
            </w:pPr>
            <w:bookmarkStart w:id="26" w:name="_b00pt07cc7a7" w:colFirst="0" w:colLast="0"/>
            <w:bookmarkEnd w:id="26"/>
            <w:r>
              <w:t xml:space="preserve">support an extension of the Harvest Strategy Work Plan. </w:t>
            </w:r>
          </w:p>
          <w:p w:rsidR="0072721E" w:rsidRDefault="007F04EE">
            <w:pPr>
              <w:numPr>
                <w:ilvl w:val="0"/>
                <w:numId w:val="29"/>
              </w:numPr>
              <w:spacing w:after="0"/>
            </w:pPr>
            <w:bookmarkStart w:id="27" w:name="_8jxyz9jctf12" w:colFirst="0" w:colLast="0"/>
            <w:bookmarkEnd w:id="27"/>
            <w:r>
              <w:t>cooperate next year on progressing the discussions on developing suitable TRPs  for bigeye and yellowfin tuna.</w:t>
            </w:r>
          </w:p>
        </w:tc>
      </w:tr>
    </w:tbl>
    <w:p w:rsidR="0072721E" w:rsidRDefault="0072721E">
      <w:pPr>
        <w:ind w:left="0"/>
      </w:pPr>
    </w:p>
    <w:p w:rsidR="0072721E" w:rsidRDefault="007F04EE">
      <w:pPr>
        <w:ind w:left="0"/>
      </w:pPr>
      <w:r>
        <w:pict>
          <v:rect id="_x0000_i1031" style="width:0;height:1.5pt" o:hralign="center" o:hrstd="t" o:hr="t" fillcolor="#a0a0a0" stroked="f"/>
        </w:pict>
      </w:r>
    </w:p>
    <w:p w:rsidR="0072721E" w:rsidRDefault="0072721E">
      <w:pPr>
        <w:ind w:left="0"/>
        <w:rPr>
          <w:b/>
          <w:sz w:val="28"/>
          <w:szCs w:val="28"/>
        </w:rPr>
      </w:pPr>
    </w:p>
    <w:tbl>
      <w:tblPr>
        <w:tblStyle w:val="ac"/>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42">
              <w:r>
                <w:rPr>
                  <w:color w:val="0000EE"/>
                  <w:u w:val="single"/>
                </w:rPr>
                <w:t>Lianos Triantafillos</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28" w:name="_vptloajh1obj" w:colFirst="0" w:colLast="0"/>
            <w:bookmarkEnd w:id="28"/>
            <w:r>
              <w:t>7.2.1.3 Management procedures for skipjack tuna</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spacing w:after="0"/>
              <w:ind w:left="0"/>
            </w:pPr>
            <w:r>
              <w:t xml:space="preserve">As required by the Indicative Work Plan for the Adoption of Harvest Strategy under CMM 2014-06, the Commission is expected to consider in 2021 management procedures for skipjack. With the focus on the new tropical tuna measure, the Commission may consider deferring this work to 2022.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i/>
              </w:rPr>
            </w:pPr>
            <w:hyperlink r:id="rId43">
              <w:r>
                <w:rPr>
                  <w:color w:val="1155CC"/>
                  <w:u w:val="single"/>
                </w:rPr>
                <w:t>WCPFC18-2021-SC17 - SC17 Summary Report for adoption on 11 Nov 2021</w:t>
              </w:r>
            </w:hyperlink>
          </w:p>
          <w:p w:rsidR="0072721E" w:rsidRDefault="007F04EE">
            <w:pPr>
              <w:widowControl w:val="0"/>
              <w:spacing w:after="0"/>
              <w:ind w:left="0"/>
            </w:pPr>
            <w:hyperlink r:id="rId44">
              <w:r>
                <w:rPr>
                  <w:color w:val="1155CC"/>
                  <w:u w:val="single"/>
                </w:rPr>
                <w:t>WCPFC18-2021-13 -Evaluations of candidate management procedures for skipjack tuna in the WCPO (SC17/MI-WP-04)</w:t>
              </w:r>
            </w:hyperlink>
          </w:p>
          <w:p w:rsidR="0072721E" w:rsidRDefault="007F04EE">
            <w:pPr>
              <w:widowControl w:val="0"/>
              <w:spacing w:after="0"/>
              <w:ind w:left="0"/>
            </w:pPr>
            <w:hyperlink r:id="rId45">
              <w:r>
                <w:rPr>
                  <w:color w:val="1155CC"/>
                  <w:u w:val="single"/>
                </w:rPr>
                <w:t xml:space="preserve">WCPFC-SC17-2021MI/WP-05 - </w:t>
              </w:r>
            </w:hyperlink>
            <w:hyperlink r:id="rId46">
              <w:r>
                <w:rPr>
                  <w:color w:val="1155CC"/>
                  <w:highlight w:val="white"/>
                  <w:u w:val="single"/>
                </w:rPr>
                <w:t>Mixed-fishery harvest strategy development</w:t>
              </w:r>
            </w:hyperlink>
          </w:p>
          <w:p w:rsidR="0072721E" w:rsidRDefault="007F04EE">
            <w:pPr>
              <w:widowControl w:val="0"/>
              <w:spacing w:after="0"/>
              <w:ind w:left="0"/>
            </w:pPr>
            <w:hyperlink r:id="rId47">
              <w:r>
                <w:rPr>
                  <w:color w:val="1155CC"/>
                  <w:u w:val="single"/>
                </w:rPr>
                <w:t>WCPFC18-2021-12 - Recent progress in the technical development of harvest strategies for WCPFC stocks and fisheries (SC17/MI-WP03)</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modelling framework for the Western and Central Pacific Ocean (WCPO) skipjack tuna is well advanced, with many of the key technical challenges addressed. Work will continue to further refine some of the technical components of the framework, in particular the specification of the operating models (OMs) that will comprise the robustness set and also to evaluate any additional management procedures (MPs). This includes harvest control rule (HCR) designs that may be proposed by members. </w:t>
            </w:r>
          </w:p>
          <w:p w:rsidR="0072721E" w:rsidRDefault="0072721E">
            <w:pPr>
              <w:widowControl w:val="0"/>
              <w:spacing w:after="0"/>
              <w:ind w:left="0"/>
            </w:pPr>
          </w:p>
          <w:p w:rsidR="0072721E" w:rsidRDefault="007F04EE">
            <w:pPr>
              <w:widowControl w:val="0"/>
              <w:spacing w:after="0"/>
              <w:ind w:left="0"/>
            </w:pPr>
            <w:r>
              <w:t>Under the revised harvest strategy work plan, the Commission is scheduled to agree on a MP for the WCPO skipjack tuna/tropical purse seine fishery in 2022. To progress the development of harvest strategies for the skipjack tuna/tropical purse seine fishery, advice is needed from the Commission on the following issues:</w:t>
            </w:r>
          </w:p>
          <w:p w:rsidR="0072721E" w:rsidRDefault="007F04EE">
            <w:pPr>
              <w:widowControl w:val="0"/>
              <w:numPr>
                <w:ilvl w:val="0"/>
                <w:numId w:val="21"/>
              </w:numPr>
              <w:spacing w:after="0"/>
            </w:pPr>
            <w:r>
              <w:t>definition of fisheries and fishery controls within the harvest strategy.</w:t>
            </w:r>
          </w:p>
          <w:p w:rsidR="0072721E" w:rsidRDefault="007F04EE">
            <w:pPr>
              <w:widowControl w:val="0"/>
              <w:numPr>
                <w:ilvl w:val="0"/>
                <w:numId w:val="21"/>
              </w:numPr>
              <w:spacing w:after="0"/>
            </w:pPr>
            <w:r>
              <w:t>input into candidate HCR designs.</w:t>
            </w:r>
          </w:p>
          <w:p w:rsidR="0072721E" w:rsidRDefault="007F04EE">
            <w:pPr>
              <w:widowControl w:val="0"/>
              <w:numPr>
                <w:ilvl w:val="0"/>
                <w:numId w:val="21"/>
              </w:numPr>
              <w:spacing w:after="0"/>
            </w:pPr>
            <w:r>
              <w:t>feedback on presentational approaches to enhance decision making.</w:t>
            </w:r>
          </w:p>
          <w:p w:rsidR="0072721E" w:rsidRDefault="007F04EE">
            <w:pPr>
              <w:widowControl w:val="0"/>
              <w:numPr>
                <w:ilvl w:val="0"/>
                <w:numId w:val="21"/>
              </w:numPr>
              <w:spacing w:after="0"/>
            </w:pPr>
            <w:r>
              <w:t>procedures for selecting the ‘best performing’ management procedure (MP).</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paper </w:t>
            </w:r>
            <w:hyperlink r:id="rId48">
              <w:r>
                <w:rPr>
                  <w:color w:val="1155CC"/>
                  <w:u w:val="single"/>
                </w:rPr>
                <w:t>WCPFC18-2021-13</w:t>
              </w:r>
            </w:hyperlink>
            <w:r>
              <w:t xml:space="preserve"> provides the latest information on the management strategy evaluation (MSE) framework for WCPO skipjack tuna. It presents an overview of the MSE framework and a summary of the results of recent evaluations, and considers the next steps that will need to be taken in order to select and agree on a final MP. This paper also cites papers that describe the evaluation framework in greater detail and should be considered alongside a number of other papers that consider the next stages of implementing the harvest strategy work plan:</w:t>
            </w:r>
          </w:p>
          <w:p w:rsidR="0072721E" w:rsidRDefault="007F04EE">
            <w:pPr>
              <w:widowControl w:val="0"/>
              <w:numPr>
                <w:ilvl w:val="0"/>
                <w:numId w:val="31"/>
              </w:numPr>
              <w:spacing w:after="0"/>
            </w:pPr>
            <w:hyperlink r:id="rId49">
              <w:r>
                <w:rPr>
                  <w:color w:val="1155CC"/>
                  <w:u w:val="single"/>
                </w:rPr>
                <w:t>WCPFC-SC17-2021MI/WP-05</w:t>
              </w:r>
            </w:hyperlink>
            <w:r>
              <w:t xml:space="preserve"> outlines preliminary evaluations of the mixed fishery framework specifically with regard to the impact of skipjack tuna MPs on stocks of bigeye and yellowfin tuna.</w:t>
            </w:r>
          </w:p>
          <w:p w:rsidR="0072721E" w:rsidRDefault="007F04EE">
            <w:pPr>
              <w:widowControl w:val="0"/>
              <w:numPr>
                <w:ilvl w:val="0"/>
                <w:numId w:val="31"/>
              </w:numPr>
              <w:spacing w:after="0"/>
            </w:pPr>
            <w:hyperlink r:id="rId50">
              <w:r>
                <w:rPr>
                  <w:color w:val="1155CC"/>
                  <w:u w:val="single"/>
                </w:rPr>
                <w:t>WCPFC18-2021-12</w:t>
              </w:r>
            </w:hyperlink>
            <w:r>
              <w:t xml:space="preserve"> considers the progress of stakeholder engagement and processes for communication, engagement and capacity building with respect to the technical development of the harvest strategy approach.</w:t>
            </w:r>
          </w:p>
          <w:p w:rsidR="0072721E" w:rsidRDefault="0072721E">
            <w:pPr>
              <w:widowControl w:val="0"/>
              <w:spacing w:after="0"/>
              <w:ind w:left="0"/>
            </w:pPr>
          </w:p>
          <w:p w:rsidR="0072721E" w:rsidRDefault="007F04EE">
            <w:pPr>
              <w:widowControl w:val="0"/>
              <w:spacing w:after="0"/>
              <w:ind w:left="0"/>
              <w:rPr>
                <w:u w:val="single"/>
              </w:rPr>
            </w:pPr>
            <w:r>
              <w:rPr>
                <w:u w:val="single"/>
              </w:rPr>
              <w:t>MSE Framework for WCPO Skipjack</w:t>
            </w:r>
          </w:p>
          <w:p w:rsidR="0072721E" w:rsidRDefault="007F04EE">
            <w:pPr>
              <w:widowControl w:val="0"/>
              <w:spacing w:after="0"/>
              <w:ind w:left="0"/>
            </w:pPr>
            <w:r>
              <w:t>The evaluation framework for WCPO skipjack tuna is largely unchanged from last year, apart from: (a) an upgrade of the software version of MULTIFAN-CL; and (b) the interim catch and effort levels assumed for the starting period (i.e. the period between the last year of the assessment (2018) and the first year in which the MP is applied (2022) is now set to the average of 2016-18 levels (previously set to 2012 levels) because they more accurately reflect fishery conditions in the recent period).</w:t>
            </w:r>
          </w:p>
          <w:p w:rsidR="0072721E" w:rsidRDefault="0072721E">
            <w:pPr>
              <w:widowControl w:val="0"/>
              <w:spacing w:after="0"/>
              <w:ind w:left="0"/>
            </w:pPr>
          </w:p>
          <w:p w:rsidR="0072721E" w:rsidRDefault="007F04EE">
            <w:pPr>
              <w:widowControl w:val="0"/>
              <w:spacing w:after="0"/>
              <w:ind w:left="0"/>
              <w:rPr>
                <w:u w:val="single"/>
              </w:rPr>
            </w:pPr>
            <w:r>
              <w:rPr>
                <w:u w:val="single"/>
              </w:rPr>
              <w:t>Evaluation of Candidate Management Procedures</w:t>
            </w:r>
          </w:p>
          <w:p w:rsidR="0072721E" w:rsidRDefault="007F04EE">
            <w:pPr>
              <w:widowControl w:val="0"/>
              <w:spacing w:after="0"/>
              <w:ind w:left="0"/>
            </w:pPr>
            <w:r>
              <w:t xml:space="preserve">Following SC17 discussions, model-based MPs are initially being considered for WCPO skipjack tuna. An MP comprises the data collection protocols, an estimation method and an HCR. </w:t>
            </w:r>
          </w:p>
          <w:p w:rsidR="0072721E" w:rsidRDefault="0072721E">
            <w:pPr>
              <w:widowControl w:val="0"/>
              <w:spacing w:after="0"/>
              <w:ind w:left="0"/>
            </w:pPr>
          </w:p>
          <w:p w:rsidR="0072721E" w:rsidRDefault="007F04EE">
            <w:pPr>
              <w:widowControl w:val="0"/>
              <w:spacing w:after="0"/>
              <w:ind w:left="0"/>
            </w:pPr>
            <w:r>
              <w:t xml:space="preserve">For the MPs considered, MULTIFAN-CL is used as the estimation model to determine stock status that will then be used as an input to the HCR; the data collection and estimation model do not change. As such, the alternative MPs evaluated here differ only in the HCR. The HCRs presented in this report include those considered in previous analyses as well as two additional HCRs that have been proposed by members (see Figure 1). </w:t>
            </w:r>
          </w:p>
          <w:p w:rsidR="0072721E" w:rsidRDefault="007F04EE">
            <w:pPr>
              <w:widowControl w:val="0"/>
              <w:spacing w:after="0"/>
              <w:ind w:left="0"/>
            </w:pPr>
            <w:r>
              <w:rPr>
                <w:noProof/>
              </w:rPr>
              <w:drawing>
                <wp:inline distT="0" distB="0" distL="0" distR="0">
                  <wp:extent cx="2862346" cy="3828733"/>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1"/>
                          <a:srcRect/>
                          <a:stretch>
                            <a:fillRect/>
                          </a:stretch>
                        </pic:blipFill>
                        <pic:spPr>
                          <a:xfrm>
                            <a:off x="0" y="0"/>
                            <a:ext cx="2862346" cy="3828733"/>
                          </a:xfrm>
                          <a:prstGeom prst="rect">
                            <a:avLst/>
                          </a:prstGeom>
                          <a:ln/>
                        </pic:spPr>
                      </pic:pic>
                    </a:graphicData>
                  </a:graphic>
                </wp:inline>
              </w:drawing>
            </w:r>
          </w:p>
          <w:p w:rsidR="0072721E" w:rsidRDefault="007F04EE">
            <w:pPr>
              <w:widowControl w:val="0"/>
              <w:spacing w:after="0"/>
              <w:ind w:left="0"/>
              <w:rPr>
                <w:i/>
              </w:rPr>
            </w:pPr>
            <w:r>
              <w:rPr>
                <w:i/>
              </w:rPr>
              <w:t xml:space="preserve">Figure 1: A selection of the harvest control rules that have been evaluated to date under the revised MSE framework for WCPO skipjack. </w:t>
            </w:r>
          </w:p>
          <w:p w:rsidR="0072721E" w:rsidRDefault="0072721E">
            <w:pPr>
              <w:widowControl w:val="0"/>
              <w:spacing w:after="0"/>
              <w:ind w:left="0"/>
            </w:pPr>
          </w:p>
          <w:p w:rsidR="0072721E" w:rsidRDefault="007F04EE">
            <w:pPr>
              <w:widowControl w:val="0"/>
              <w:spacing w:after="0"/>
              <w:ind w:left="0"/>
              <w:rPr>
                <w:b/>
              </w:rPr>
            </w:pPr>
            <w:r>
              <w:t>Currently, 6 performance indicators (PIs) are calculated for the skipjack tuna evaluations:</w:t>
            </w:r>
          </w:p>
          <w:p w:rsidR="0072721E" w:rsidRDefault="007F04EE">
            <w:pPr>
              <w:widowControl w:val="0"/>
              <w:numPr>
                <w:ilvl w:val="0"/>
                <w:numId w:val="16"/>
              </w:numPr>
              <w:spacing w:after="0"/>
            </w:pPr>
            <w:r>
              <w:t>Maintain skipjack, yellowfin and bigeye tuna biomass at or above levels that provide fishery sustainability throughout their range.</w:t>
            </w:r>
          </w:p>
          <w:p w:rsidR="0072721E" w:rsidRDefault="007F04EE">
            <w:pPr>
              <w:widowControl w:val="0"/>
              <w:numPr>
                <w:ilvl w:val="0"/>
                <w:numId w:val="16"/>
              </w:numPr>
              <w:spacing w:after="0"/>
            </w:pPr>
            <w:r>
              <w:t>Maximise economic yield from the fishery (average expected catch).</w:t>
            </w:r>
          </w:p>
          <w:p w:rsidR="0072721E" w:rsidRDefault="007F04EE">
            <w:pPr>
              <w:widowControl w:val="0"/>
              <w:numPr>
                <w:ilvl w:val="0"/>
                <w:numId w:val="16"/>
              </w:numPr>
              <w:spacing w:after="0"/>
            </w:pPr>
            <w:r>
              <w:t>Maintain acceptable CPUE.</w:t>
            </w:r>
          </w:p>
          <w:p w:rsidR="0072721E" w:rsidRDefault="007F04EE">
            <w:pPr>
              <w:widowControl w:val="0"/>
              <w:numPr>
                <w:ilvl w:val="0"/>
                <w:numId w:val="16"/>
              </w:numPr>
              <w:spacing w:after="0"/>
            </w:pPr>
            <w:r>
              <w:t>Catch stability.</w:t>
            </w:r>
          </w:p>
          <w:p w:rsidR="0072721E" w:rsidRDefault="007F04EE">
            <w:pPr>
              <w:widowControl w:val="0"/>
              <w:numPr>
                <w:ilvl w:val="0"/>
                <w:numId w:val="16"/>
              </w:numPr>
              <w:spacing w:after="0"/>
            </w:pPr>
            <w:r>
              <w:t>Stability and continuity of market supply (effort variation relative to a reference period).</w:t>
            </w:r>
          </w:p>
          <w:p w:rsidR="0072721E" w:rsidRDefault="007F04EE">
            <w:pPr>
              <w:widowControl w:val="0"/>
              <w:numPr>
                <w:ilvl w:val="0"/>
                <w:numId w:val="16"/>
              </w:numPr>
              <w:spacing w:after="0"/>
            </w:pPr>
            <w:r>
              <w:t xml:space="preserve">Stability and continuity of market supply (probability of and deviation from </w:t>
            </w:r>
            <w:r>
              <w:rPr>
                <w:i/>
              </w:rPr>
              <w:t>SB/SB</w:t>
            </w:r>
            <w:r>
              <w:rPr>
                <w:i/>
                <w:vertAlign w:val="subscript"/>
              </w:rPr>
              <w:t xml:space="preserve">F=0 </w:t>
            </w:r>
            <w:r>
              <w:t>&gt; 0.5).</w:t>
            </w:r>
          </w:p>
          <w:p w:rsidR="0072721E" w:rsidRDefault="0072721E">
            <w:pPr>
              <w:widowControl w:val="0"/>
              <w:spacing w:after="0"/>
              <w:ind w:left="0"/>
            </w:pPr>
          </w:p>
          <w:p w:rsidR="0072721E" w:rsidRDefault="007F04EE">
            <w:pPr>
              <w:widowControl w:val="0"/>
              <w:spacing w:after="0"/>
              <w:ind w:left="0"/>
            </w:pPr>
            <w:r>
              <w:t>A further 4 PIs, requested by members, remain under consideration pending further discussion on how they might best be calculated or approximated.</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A comprehensive investigation of the results in this paper is provided by using the PIMPLE software </w:t>
            </w:r>
            <w:hyperlink r:id="rId52">
              <w:r>
                <w:rPr>
                  <w:color w:val="0000FF"/>
                  <w:u w:val="single"/>
                </w:rPr>
                <w:t>https://ofp-sam.shinyapps.io/pimple/</w:t>
              </w:r>
            </w:hyperlink>
            <w:r>
              <w:t xml:space="preserve">. </w:t>
            </w:r>
          </w:p>
          <w:p w:rsidR="0072721E" w:rsidRDefault="0072721E">
            <w:pPr>
              <w:widowControl w:val="0"/>
              <w:spacing w:after="0"/>
              <w:ind w:left="0"/>
            </w:pPr>
          </w:p>
          <w:p w:rsidR="0072721E" w:rsidRDefault="007F04EE">
            <w:pPr>
              <w:widowControl w:val="0"/>
              <w:spacing w:after="0"/>
              <w:ind w:left="0"/>
            </w:pPr>
            <w:r>
              <w:t>The HCRs considered in this report share a common basic form to reduce fishing as stock abundance approaches the limit reference point, although the point at which the decline in fishing starts and the rate at which it occurs differs in each case.</w:t>
            </w:r>
          </w:p>
          <w:p w:rsidR="0072721E" w:rsidRDefault="0072721E">
            <w:pPr>
              <w:widowControl w:val="0"/>
              <w:spacing w:after="0"/>
              <w:ind w:left="0"/>
            </w:pPr>
          </w:p>
          <w:p w:rsidR="0072721E" w:rsidRDefault="007F04EE">
            <w:pPr>
              <w:widowControl w:val="0"/>
              <w:spacing w:after="0"/>
              <w:ind w:left="0"/>
            </w:pPr>
            <w:r>
              <w:t>The interannual variability evident from the individual trajectories is greater than the relatively smooth and constant trends implied by the median values calculated across all model and iteration scenarios and, in some cases, individual runs fall outside the range of values plotted.</w:t>
            </w:r>
          </w:p>
          <w:p w:rsidR="0072721E" w:rsidRDefault="0072721E">
            <w:pPr>
              <w:widowControl w:val="0"/>
              <w:spacing w:after="0"/>
              <w:ind w:left="0"/>
            </w:pPr>
          </w:p>
          <w:p w:rsidR="0072721E" w:rsidRDefault="007F04EE">
            <w:pPr>
              <w:widowControl w:val="0"/>
              <w:spacing w:after="0"/>
              <w:ind w:left="0"/>
            </w:pPr>
            <w:r>
              <w:t xml:space="preserve">For relatively short-lived, fast maturing species such as skipjack tuna, variability in recruitment will rapidly manifest as variability in adult stock abundance and may, for some scenarios, be the primary driver of stock status and catch levels regardless of the HCR being employed. As a consequence, two very different HCRs (e.g. HCR 7 and HCR 11; see Figure 1) can have almost identical performance. Although these HCRs have very different forms, their overall performance is quite similar and, in some instances, almost exactly the same because, for the majority of runs, both HCRs maintain the stock at depletion levels close to the range at which they share a similar form (0.4 &lt; </w:t>
            </w:r>
            <w:r>
              <w:rPr>
                <w:i/>
              </w:rPr>
              <w:t>SB/SB</w:t>
            </w:r>
            <w:r>
              <w:rPr>
                <w:i/>
                <w:vertAlign w:val="subscript"/>
              </w:rPr>
              <w:t xml:space="preserve">F=0 </w:t>
            </w:r>
            <w:r>
              <w:t>&gt; 0.5). At this range of depletion, fishing effort is held constant and any variability in stock abundance and catch results primarily from variability in recruitment.</w:t>
            </w:r>
          </w:p>
          <w:p w:rsidR="0072721E" w:rsidRDefault="0072721E">
            <w:pPr>
              <w:widowControl w:val="0"/>
              <w:spacing w:after="0"/>
              <w:ind w:left="0"/>
            </w:pPr>
          </w:p>
          <w:p w:rsidR="0072721E" w:rsidRDefault="007F04EE">
            <w:pPr>
              <w:widowControl w:val="0"/>
              <w:spacing w:after="0"/>
              <w:ind w:left="0"/>
            </w:pPr>
            <w:r>
              <w:t xml:space="preserve">Once an MP is adopted and implemented, the authors of  </w:t>
            </w:r>
            <w:hyperlink r:id="rId53">
              <w:r>
                <w:rPr>
                  <w:color w:val="1155CC"/>
                  <w:u w:val="single"/>
                </w:rPr>
                <w:t>WCPFC18-2021-13</w:t>
              </w:r>
            </w:hyperlink>
            <w:r>
              <w:t xml:space="preserve"> recommend it should be monitored to check that it is performing as expected. As part of the monitoring strategy a stock assessment will be periodically conducted to monitor performance in terms of expected stock status. </w:t>
            </w:r>
          </w:p>
          <w:p w:rsidR="0072721E" w:rsidRDefault="0072721E">
            <w:pPr>
              <w:widowControl w:val="0"/>
              <w:spacing w:after="0"/>
              <w:ind w:left="0"/>
            </w:pPr>
          </w:p>
          <w:p w:rsidR="0072721E" w:rsidRDefault="007F04EE">
            <w:pPr>
              <w:widowControl w:val="0"/>
              <w:spacing w:after="0"/>
              <w:ind w:left="0"/>
            </w:pPr>
            <w:r>
              <w:t>The authors also recommend that in the event that the monitoring strategy shows values deviating from their expected ranges, the Scientific Committee will need to provide advice to the Commission on the best course of action. Depending on the extent of the deviation, the Scientific Committee may advise either to continue with the existing MP without modification; to begin exploring alternative, improved MPs or, in extreme cases, to abandon the MP immediately and pursue an alternative management arrangement.</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It is recommended that FFA members note:</w:t>
            </w:r>
          </w:p>
          <w:p w:rsidR="0072721E" w:rsidRDefault="007F04EE">
            <w:pPr>
              <w:widowControl w:val="0"/>
              <w:numPr>
                <w:ilvl w:val="0"/>
                <w:numId w:val="65"/>
              </w:numPr>
              <w:spacing w:after="0"/>
            </w:pPr>
            <w:r>
              <w:t>the WCPFC is scheduled to agree on a management procedure for the WCPO skipjack/tropical purse seine fishery in 2022.</w:t>
            </w:r>
          </w:p>
          <w:p w:rsidR="0072721E" w:rsidRDefault="007F04EE">
            <w:pPr>
              <w:widowControl w:val="0"/>
              <w:numPr>
                <w:ilvl w:val="0"/>
                <w:numId w:val="65"/>
              </w:numPr>
              <w:spacing w:after="0"/>
            </w:pPr>
            <w:r>
              <w:t>in order to expedite this process, input into candidate HCR designs and feedback on presentational approaches to enhance decision making is needed from FFA members. One efficient way to get such input is through a Science-Management Dialogue (see agenda item 8.1 - Review of Indicative Work Plan).</w:t>
            </w:r>
          </w:p>
        </w:tc>
      </w:tr>
    </w:tbl>
    <w:p w:rsidR="0072721E" w:rsidRDefault="0072721E">
      <w:pPr>
        <w:ind w:left="0"/>
      </w:pPr>
    </w:p>
    <w:p w:rsidR="0072721E" w:rsidRDefault="007F04EE">
      <w:pPr>
        <w:ind w:left="0"/>
      </w:pPr>
      <w:r>
        <w:pict>
          <v:rect id="_x0000_i1032" style="width:0;height:1.5pt" o:hralign="center" o:hrstd="t" o:hr="t" fillcolor="#a0a0a0" stroked="f"/>
        </w:pict>
      </w:r>
    </w:p>
    <w:p w:rsidR="0072721E" w:rsidRDefault="0072721E">
      <w:pPr>
        <w:ind w:left="0"/>
      </w:pPr>
    </w:p>
    <w:tbl>
      <w:tblPr>
        <w:tblStyle w:val="ad"/>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sz w:val="24"/>
                <w:szCs w:val="24"/>
              </w:rPr>
            </w:pPr>
            <w:r>
              <w:rPr>
                <w:b/>
                <w:sz w:val="24"/>
                <w:szCs w:val="24"/>
              </w:rPr>
              <w:t>Primary Author</w:t>
            </w:r>
          </w:p>
          <w:p w:rsidR="0072721E" w:rsidRDefault="007F04EE">
            <w:pPr>
              <w:widowControl w:val="0"/>
              <w:spacing w:after="0"/>
              <w:ind w:left="0"/>
              <w:rPr>
                <w:b/>
                <w:sz w:val="24"/>
                <w:szCs w:val="24"/>
                <w:highlight w:val="yellow"/>
              </w:rPr>
            </w:pPr>
            <w:r>
              <w:rPr>
                <w:b/>
                <w:sz w:val="24"/>
                <w:szCs w:val="24"/>
                <w:highlight w:val="yellow"/>
              </w:rPr>
              <w:t>[SPC PRESENTATION]</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hyperlink r:id="rId54">
              <w:r>
                <w:rPr>
                  <w:color w:val="0000EE"/>
                  <w:u w:val="single"/>
                </w:rPr>
                <w:t>Joyce Samuelu-Ah Leong</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jc w:val="left"/>
            </w:pPr>
            <w:bookmarkStart w:id="29" w:name="_59nm77sr4s1n" w:colFirst="0" w:colLast="0"/>
            <w:bookmarkEnd w:id="29"/>
            <w:r>
              <w:rPr>
                <w:i/>
              </w:rPr>
              <w:t xml:space="preserve"> 7.2.2.1 </w:t>
            </w:r>
            <w:r>
              <w:t xml:space="preserve">SSP Analysis of Requests by TTMW2 </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rPr>
                <w:i/>
              </w:rPr>
            </w:pPr>
            <w:r>
              <w:rPr>
                <w:i/>
              </w:rPr>
              <w:t>The SSP will present the outcomes of its analysis of the requests that were provided to it by the second workshop to develop the new tropical tuna measure (TTMW2).</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hyperlink r:id="rId55">
              <w:r>
                <w:rPr>
                  <w:i/>
                  <w:color w:val="1155CC"/>
                  <w:u w:val="single"/>
                </w:rPr>
                <w:t>WCPFC 18- 2021-15 Results of Analyses Requested by TTMW2 and TTMW1</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paper is a compendium of results from the two sets of TTM Workshop requests for the SPC. These have been pulled together for ease of reference and finding documents from the workshops.</w:t>
            </w:r>
          </w:p>
          <w:p w:rsidR="0072721E" w:rsidRDefault="0072721E">
            <w:pPr>
              <w:widowControl w:val="0"/>
              <w:spacing w:after="0"/>
              <w:ind w:left="0"/>
              <w:jc w:val="left"/>
            </w:pPr>
          </w:p>
        </w:tc>
      </w:tr>
      <w:tr w:rsidR="0072721E">
        <w:trPr>
          <w:trHeight w:val="1110"/>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Given the many requests on analysis from the SPC in the last Tropical Tuna workshops, SPC has compiled all of the result documents into this one paper, for ease of reference by members.</w:t>
            </w:r>
          </w:p>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 useful document for members to have on their desktop to keep track of all the documents so far in the discussions for developing the Tropical Tuna Measure.</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r>
              <w:t>SPC will be asked to present on this paper in the meeting and will probably provide a brief summary on all the analysis conducted for the two workshops. Noting that we have discussed these analyses in the last two workshops, we can thank the SPC for these informative analyses that aid the discussions.</w:t>
            </w:r>
          </w:p>
        </w:tc>
      </w:tr>
    </w:tbl>
    <w:p w:rsidR="0072721E" w:rsidRDefault="0072721E">
      <w:pPr>
        <w:ind w:left="0"/>
      </w:pPr>
    </w:p>
    <w:p w:rsidR="0072721E" w:rsidRDefault="007F04EE">
      <w:pPr>
        <w:ind w:left="0"/>
      </w:pPr>
      <w:r>
        <w:pict>
          <v:rect id="_x0000_i1033" style="width:0;height:1.5pt" o:hralign="center" o:hrstd="t" o:hr="t" fillcolor="#a0a0a0" stroked="f"/>
        </w:pict>
      </w:r>
    </w:p>
    <w:p w:rsidR="0072721E" w:rsidRDefault="0072721E">
      <w:pPr>
        <w:ind w:left="0"/>
      </w:pPr>
    </w:p>
    <w:tbl>
      <w:tblPr>
        <w:tblStyle w:val="ae"/>
        <w:tblW w:w="10305" w:type="dxa"/>
        <w:tblLayout w:type="fixed"/>
        <w:tblLook w:val="0600" w:firstRow="0" w:lastRow="0" w:firstColumn="0" w:lastColumn="0" w:noHBand="1" w:noVBand="1"/>
      </w:tblPr>
      <w:tblGrid>
        <w:gridCol w:w="2340"/>
        <w:gridCol w:w="7965"/>
      </w:tblGrid>
      <w:tr w:rsidR="0072721E">
        <w:trPr>
          <w:trHeight w:val="502"/>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56">
              <w:r>
                <w:rPr>
                  <w:color w:val="0000EE"/>
                  <w:u w:val="single"/>
                </w:rPr>
                <w:t>Lianos Triantafillos</w:t>
              </w:r>
            </w:hyperlink>
          </w:p>
        </w:tc>
      </w:tr>
      <w:tr w:rsidR="0072721E">
        <w:trPr>
          <w:trHeight w:val="472"/>
        </w:trPr>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30" w:name="_zjuvyua6pvh" w:colFirst="0" w:colLast="0"/>
            <w:bookmarkEnd w:id="30"/>
            <w:r>
              <w:t>7.2.2.2 Report of the FAD-MO IWG</w:t>
            </w:r>
          </w:p>
        </w:tc>
      </w:tr>
      <w:tr w:rsidR="0072721E">
        <w:trPr>
          <w:trHeight w:val="1004"/>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spacing w:after="0"/>
              <w:ind w:left="0"/>
            </w:pPr>
            <w:r>
              <w:t>The Commission will consider the aspects of the report of the FAD Management Options Intersessional Working Group that relate to the FAD provisions of the new tropical tuna measure.</w:t>
            </w:r>
          </w:p>
        </w:tc>
      </w:tr>
      <w:tr w:rsidR="0072721E">
        <w:trPr>
          <w:trHeight w:val="1536"/>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57">
              <w:r>
                <w:rPr>
                  <w:color w:val="1155CC"/>
                  <w:u w:val="single"/>
                </w:rPr>
                <w:t>WCPFC18-2021-SC17 - SC17 Summary Report for adoption on 11 Nov 2021</w:t>
              </w:r>
            </w:hyperlink>
          </w:p>
          <w:p w:rsidR="0072721E" w:rsidRDefault="007F04EE">
            <w:pPr>
              <w:widowControl w:val="0"/>
              <w:spacing w:after="0"/>
              <w:ind w:left="0"/>
            </w:pPr>
            <w:r>
              <w:t>FADMO-IWG-2021-WP-01_revision 4 - Guidelines for non-entangling and biodegradable FADs</w:t>
            </w:r>
          </w:p>
          <w:p w:rsidR="0072721E" w:rsidRDefault="007F04EE">
            <w:pPr>
              <w:widowControl w:val="0"/>
              <w:spacing w:after="0"/>
              <w:ind w:left="0"/>
            </w:pPr>
            <w:r>
              <w:t>WCPFC18-2021-FADMO-IWG5-01 - Summary report of the fifth FAD Management Options Intersessional Working Group</w:t>
            </w:r>
          </w:p>
        </w:tc>
      </w:tr>
      <w:tr w:rsidR="0072721E">
        <w:trPr>
          <w:trHeight w:val="5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In November 2020, the FAD Management Options Intersessional Working Group (FADMO-IWG) finalised draft </w:t>
            </w:r>
            <w:r>
              <w:rPr>
                <w:i/>
              </w:rPr>
              <w:t xml:space="preserve">Guidelines for non-entangling and biodegradable FADs </w:t>
            </w:r>
            <w:r>
              <w:t>(the Guidelines), which were forwarded to the Commission.  WCPFC17 provided the following recommendation in December 2020 (paragraph 349, WCPFC17 Summary Report):</w:t>
            </w:r>
          </w:p>
          <w:p w:rsidR="0072721E" w:rsidRDefault="0072721E">
            <w:pPr>
              <w:widowControl w:val="0"/>
              <w:spacing w:after="0"/>
              <w:ind w:left="0"/>
            </w:pPr>
          </w:p>
          <w:p w:rsidR="0072721E" w:rsidRDefault="007F04EE">
            <w:pPr>
              <w:widowControl w:val="0"/>
              <w:spacing w:after="0"/>
              <w:ind w:left="0"/>
              <w:rPr>
                <w:i/>
              </w:rPr>
            </w:pPr>
            <w:r>
              <w:rPr>
                <w:i/>
              </w:rPr>
              <w:t>349. Noting that the SC16 and TCC16 could not complete the task in paragraph 22 of CMM 2018-01 due to the limited agenda resulting from COVID-19, the Commission tasked SC17 and TCC17 to review the draft guidelines for non-entangling and biodegradable FADs prepared by the FAD Management Options IWG (Attachment K). The FAD Management Options IWG should revisit the draft guidelines based on input from those bodies as well as any additional scientific and technical information on non-entangling and biodegradable FADs.</w:t>
            </w:r>
          </w:p>
          <w:p w:rsidR="0072721E" w:rsidRDefault="0072721E">
            <w:pPr>
              <w:widowControl w:val="0"/>
              <w:spacing w:after="0"/>
              <w:ind w:left="0"/>
            </w:pPr>
          </w:p>
          <w:p w:rsidR="0072721E" w:rsidRDefault="007F04EE">
            <w:pPr>
              <w:widowControl w:val="0"/>
              <w:spacing w:after="0"/>
              <w:ind w:left="0"/>
            </w:pPr>
            <w:r>
              <w:t>The FADMO-IWG noted the discussions at SC17 and TCC17, other available scientific and technical information on non-entangling and biodegradable FADs, the status of WCPFC Project 110 and comments received during four rounds of email communication from members of this working group in October and November 2021 to update the draft Guidelines for consideration of WCPFC18.</w:t>
            </w:r>
          </w:p>
        </w:tc>
      </w:tr>
      <w:tr w:rsidR="0072721E">
        <w:trPr>
          <w:trHeight w:val="6588"/>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In November 2020, the FADMO-IWG finalised the draft Guidelines and they were forwarded to the Commission. At WCPFC17, the Commission requested the draft Guidelines be considered at SC17 and TCC17. They were considered at SC17 through the online discussion forum and at TCC17 in the plenary and online discussion forum.</w:t>
            </w:r>
          </w:p>
          <w:p w:rsidR="0072721E" w:rsidRDefault="0072721E">
            <w:pPr>
              <w:widowControl w:val="0"/>
              <w:spacing w:after="0"/>
              <w:ind w:left="0"/>
            </w:pPr>
          </w:p>
          <w:p w:rsidR="0072721E" w:rsidRDefault="007F04EE">
            <w:pPr>
              <w:widowControl w:val="0"/>
              <w:spacing w:after="0"/>
              <w:ind w:left="0"/>
            </w:pPr>
            <w:r>
              <w:t>The Chair of the FADMO-IWG, Mr Jamel James, advised in WCPFC Circular 2021-87 (dated 6 October 2021) he would like to reconvene the FADMO-IWG activities through email communication. In the circular, the Chair emphasized that the main task of the FADMO-IWG is to update the draft Guidelines by taking into consideration discussions at SC17 and TCC17, other available scientific and technical information on non-entangling and biodegradable FADs and the status of WCPFC Project 110.</w:t>
            </w:r>
          </w:p>
          <w:p w:rsidR="0072721E" w:rsidRDefault="0072721E">
            <w:pPr>
              <w:widowControl w:val="0"/>
              <w:spacing w:after="0"/>
              <w:ind w:left="0"/>
            </w:pPr>
          </w:p>
          <w:p w:rsidR="0072721E" w:rsidRDefault="007F04EE">
            <w:pPr>
              <w:widowControl w:val="0"/>
              <w:spacing w:after="0"/>
              <w:ind w:left="0"/>
            </w:pPr>
            <w:r>
              <w:t xml:space="preserve">The Chair sent the first email communication to the FADMO-IWG on 15 October 2021, requesting comments on the draft Guidelines.  Since then, comments from numerous members of the FADMO-IWG, including the ISSF, USA and Chinese Taipei, European Union, FFA, Japan, PNA, SPREP, and SPC have been considered and reflected in the thrice revised versions of the draft Guidelines. On 9 November 2021, the Chair sent a fourth email communication to the working group and attached the latest version of the draft Guidelines for final comment. Comments received before Friday, 12 November 2021 will be considered and incorporated, where appropriate, into the final draft version of the Guidelines before the fifth session of the FADMO-IWG discussions is deemed closed. This final version of the draft Guidelines (FADMO-IWG-2021- WP-01_revision 4) would then be sent to WCPFC18 for comment, along with a summary report of FADMO-IWG-5 (WCPFC18-2021-FADMO-IWG5-01). </w:t>
            </w:r>
          </w:p>
        </w:tc>
      </w:tr>
      <w:tr w:rsidR="0072721E">
        <w:trPr>
          <w:trHeight w:val="14506"/>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In the SC17 online discussion forum, there was:</w:t>
            </w:r>
          </w:p>
          <w:p w:rsidR="0072721E" w:rsidRDefault="007F04EE">
            <w:pPr>
              <w:widowControl w:val="0"/>
              <w:numPr>
                <w:ilvl w:val="0"/>
                <w:numId w:val="18"/>
              </w:numPr>
              <w:spacing w:after="0"/>
            </w:pPr>
            <w:r>
              <w:t>general support on strengthening the existing provisions to reduce entanglement on FADs as proposed by the FADMO-IWG. There was also acknowledgement that lower entanglement risk FADs are not ideal, but their use is a transitional step in moving to the desired goal of fully non-entangling FADs.</w:t>
            </w:r>
          </w:p>
          <w:p w:rsidR="0072721E" w:rsidRDefault="007F04EE">
            <w:pPr>
              <w:widowControl w:val="0"/>
              <w:numPr>
                <w:ilvl w:val="0"/>
                <w:numId w:val="18"/>
              </w:numPr>
              <w:spacing w:after="0"/>
            </w:pPr>
            <w:r>
              <w:t>acknowledgement that more work is needed before further requirements are put in place for the use of biodegradable materials in FADs. The FADMO-IWG also noted that research on the use of biodegradable materials has experienced some delays due to the impacts of the COVID-19 pandemic.</w:t>
            </w:r>
          </w:p>
          <w:p w:rsidR="0072721E" w:rsidRDefault="007F04EE">
            <w:pPr>
              <w:widowControl w:val="0"/>
              <w:numPr>
                <w:ilvl w:val="0"/>
                <w:numId w:val="18"/>
              </w:numPr>
              <w:spacing w:after="0"/>
            </w:pPr>
            <w:r>
              <w:t>a suggestion by one respondent to track the weights of drifting-FADs in order  to estimate the trends in plastic used in drifting-FADs over time.</w:t>
            </w:r>
          </w:p>
          <w:p w:rsidR="0072721E" w:rsidRDefault="0072721E">
            <w:pPr>
              <w:widowControl w:val="0"/>
              <w:spacing w:after="0"/>
              <w:ind w:left="0"/>
            </w:pPr>
          </w:p>
          <w:p w:rsidR="0072721E" w:rsidRDefault="007F04EE">
            <w:pPr>
              <w:widowControl w:val="0"/>
              <w:spacing w:after="0"/>
              <w:ind w:left="0"/>
            </w:pPr>
            <w:r>
              <w:t>In the TCC17 plenary and online discussion forum, there was general support for the use of non-entangling and biodegradable FAD materials. There was also general support for research on the development of suitable biodegradable materials in FAD construction, including the use of locally available materials. While most CCMs supported a move to fully non-entangling FADs, several CMMS noted challenges such as logistical concerns in getting materials to ports resulting from the COVID-19 pandemic.</w:t>
            </w:r>
          </w:p>
          <w:p w:rsidR="0072721E" w:rsidRDefault="0072721E">
            <w:pPr>
              <w:widowControl w:val="0"/>
              <w:spacing w:after="0"/>
              <w:ind w:left="0"/>
            </w:pPr>
          </w:p>
          <w:p w:rsidR="0072721E" w:rsidRDefault="007F04EE">
            <w:pPr>
              <w:widowControl w:val="0"/>
              <w:spacing w:after="0"/>
              <w:ind w:left="0"/>
            </w:pPr>
            <w:r>
              <w:t>Project 110 will conduct trials of non-entangling and biodegradable FADs in the Western and Central Pacific Ocean. These trials are expected to provide essential information to the tuna fishing industry on the designs, types of materials, performance and cost-effectiveness of non-entangling and biodegradable FADs in the WCPO context and support the industry to increase uptake of more ecologically sustainable FAD designs. This project has experienced some work delays due to the impacts of COVID-19 pandemic and is expected to be completed in late 2023.</w:t>
            </w:r>
          </w:p>
          <w:p w:rsidR="0072721E" w:rsidRDefault="0072721E">
            <w:pPr>
              <w:widowControl w:val="0"/>
              <w:spacing w:after="0"/>
              <w:ind w:left="0"/>
            </w:pPr>
          </w:p>
          <w:p w:rsidR="0072721E" w:rsidRDefault="007F04EE">
            <w:pPr>
              <w:widowControl w:val="0"/>
              <w:spacing w:after="0"/>
              <w:ind w:left="0"/>
            </w:pPr>
            <w:r>
              <w:t>After noting the comments received during SC17, TCC17 and recent email communications, the FADMO-IWG:</w:t>
            </w:r>
          </w:p>
          <w:p w:rsidR="0072721E" w:rsidRDefault="007F04EE">
            <w:pPr>
              <w:widowControl w:val="0"/>
              <w:numPr>
                <w:ilvl w:val="0"/>
                <w:numId w:val="14"/>
              </w:numPr>
              <w:spacing w:after="0"/>
            </w:pPr>
            <w:r>
              <w:t xml:space="preserve">stated it is supportive of the direction for banning nettings on FADs or using only non-entangling materials and designs to reduce, if not eliminate, the risk of entanglement of sharks, sea turtles, cetaceans and other vulnerable species.  However, the Commission needs to determine the timing of when to make use of non-entangling materials on FADs mandatory, noting the research on availability of materials and FAD designs in the respective area which was hampered due to the impacts of the COVID-19 pandemic and the uncertainty surrounding ongoing disruptions to the global supply chain, more generally. </w:t>
            </w:r>
          </w:p>
          <w:p w:rsidR="0072721E" w:rsidRDefault="007F04EE">
            <w:pPr>
              <w:widowControl w:val="0"/>
              <w:numPr>
                <w:ilvl w:val="0"/>
                <w:numId w:val="14"/>
              </w:numPr>
              <w:spacing w:after="0"/>
            </w:pPr>
            <w:r>
              <w:t>noted some members of the FADMO-IWG suggest having some transition period before strengthening the requirements for the use of non-entangling materials to take into consideration challenges posed by the COVID-19 pandemic.</w:t>
            </w:r>
          </w:p>
          <w:p w:rsidR="0072721E" w:rsidRDefault="007F04EE">
            <w:pPr>
              <w:widowControl w:val="0"/>
              <w:numPr>
                <w:ilvl w:val="0"/>
                <w:numId w:val="14"/>
              </w:numPr>
              <w:spacing w:after="0"/>
            </w:pPr>
            <w:r>
              <w:t>recommended using biodegradable materials on the construction of FADs to reduce the amount of synthetic debris in the environment, but acknowledged that more research is needed on the development and application of suitable biodegradable materials and FAD designs in FAD construction, including the use of locally available materials.</w:t>
            </w:r>
          </w:p>
          <w:p w:rsidR="0072721E" w:rsidRDefault="007F04EE">
            <w:pPr>
              <w:widowControl w:val="0"/>
              <w:numPr>
                <w:ilvl w:val="0"/>
                <w:numId w:val="14"/>
              </w:numPr>
              <w:spacing w:after="0"/>
            </w:pPr>
            <w:r>
              <w:t>recommends that the Commission considers developing a definition of ‘biodegradable FAD’, ideally in consultation with other t-RFMOs.</w:t>
            </w:r>
          </w:p>
          <w:p w:rsidR="0072721E" w:rsidRDefault="007F04EE">
            <w:pPr>
              <w:widowControl w:val="0"/>
              <w:numPr>
                <w:ilvl w:val="0"/>
                <w:numId w:val="14"/>
              </w:numPr>
              <w:spacing w:after="0"/>
            </w:pPr>
            <w:r>
              <w:t>noted that processes to monitor the implementation of non-entangling and/or biodegradable FAD guidelines will need to be discussed in the near future, to assist in their ongoing improvement.</w:t>
            </w:r>
          </w:p>
        </w:tc>
      </w:tr>
      <w:tr w:rsidR="0072721E">
        <w:trPr>
          <w:trHeight w:val="260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It is recommended that FFA members:</w:t>
            </w:r>
          </w:p>
          <w:p w:rsidR="0072721E" w:rsidRDefault="007F04EE">
            <w:pPr>
              <w:widowControl w:val="0"/>
              <w:numPr>
                <w:ilvl w:val="0"/>
                <w:numId w:val="34"/>
              </w:numPr>
              <w:spacing w:after="0"/>
            </w:pPr>
            <w:r>
              <w:t xml:space="preserve">note the comments made by the FADMO-IWG are consistent with those proposed by FFA members in the Chair’s consultative draft. </w:t>
            </w:r>
          </w:p>
          <w:p w:rsidR="0072721E" w:rsidRDefault="007F04EE">
            <w:pPr>
              <w:widowControl w:val="0"/>
              <w:numPr>
                <w:ilvl w:val="0"/>
                <w:numId w:val="34"/>
              </w:numPr>
              <w:spacing w:after="0"/>
            </w:pPr>
            <w:r>
              <w:t xml:space="preserve">support the recommendation for further scientific studies into the development and application of appropriate biodegradable materials in FAD construction, including the use of local materials. </w:t>
            </w:r>
          </w:p>
          <w:p w:rsidR="0072721E" w:rsidRDefault="007F04EE">
            <w:pPr>
              <w:widowControl w:val="0"/>
              <w:numPr>
                <w:ilvl w:val="0"/>
                <w:numId w:val="34"/>
              </w:numPr>
              <w:spacing w:after="0"/>
            </w:pPr>
            <w:r>
              <w:t>support the development of a definition for a ‘biodegradable FAD’ and a transition before strengthening the requirements for the use of non-entangling materials.</w:t>
            </w:r>
          </w:p>
        </w:tc>
      </w:tr>
    </w:tbl>
    <w:p w:rsidR="0072721E" w:rsidRDefault="0072721E">
      <w:pPr>
        <w:ind w:left="0"/>
      </w:pPr>
    </w:p>
    <w:p w:rsidR="0072721E" w:rsidRDefault="007F04EE">
      <w:pPr>
        <w:ind w:left="0"/>
      </w:pPr>
      <w:r>
        <w:pict>
          <v:rect id="_x0000_i1034" style="width:0;height:1.5pt" o:hralign="center" o:hrstd="t" o:hr="t" fillcolor="#a0a0a0" stroked="f"/>
        </w:pict>
      </w:r>
    </w:p>
    <w:p w:rsidR="0072721E" w:rsidRDefault="0072721E">
      <w:pPr>
        <w:ind w:left="0"/>
      </w:pPr>
    </w:p>
    <w:tbl>
      <w:tblPr>
        <w:tblStyle w:val="af"/>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58">
              <w:r>
                <w:rPr>
                  <w:color w:val="0000EE"/>
                  <w:u w:val="single"/>
                </w:rPr>
                <w:t>Joyce Samuelu-Ah Leong</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31" w:name="_cqghv3b1xpip" w:colFirst="0" w:colLast="0"/>
            <w:bookmarkEnd w:id="31"/>
            <w:r>
              <w:t xml:space="preserve"> 7.2.3  Other Commercial fisheries for bigeye, skipjack and yellowfin</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t>The Commission will consider the advice of SC17 and TCC17 on the implementation of paragraphs 50 and 51 of CMM2020-01</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59">
              <w:r>
                <w:rPr>
                  <w:color w:val="1155CC"/>
                  <w:u w:val="single"/>
                </w:rPr>
                <w:t>WCFPC18-2021-24:</w:t>
              </w:r>
            </w:hyperlink>
            <w:r>
              <w:t xml:space="preserve"> Options for a baseline of the “large fish” Handline fishery fishing in Indonesia’s EEZ (IEEZ) with vessels &gt;30GT for the WCPFC Tropical Tuna Measure</w:t>
            </w:r>
          </w:p>
          <w:p w:rsidR="0072721E" w:rsidRDefault="007F04EE">
            <w:pPr>
              <w:widowControl w:val="0"/>
              <w:spacing w:after="0"/>
              <w:ind w:left="0"/>
            </w:pPr>
            <w:hyperlink r:id="rId60">
              <w:r>
                <w:rPr>
                  <w:color w:val="1155CC"/>
                  <w:u w:val="single"/>
                </w:rPr>
                <w:t>WCPFC18-2021-SC17-01</w:t>
              </w:r>
            </w:hyperlink>
            <w:r>
              <w:t xml:space="preserve"> Outcomes Document (30Aug2021)- Rev.01</w:t>
            </w:r>
          </w:p>
          <w:p w:rsidR="0072721E" w:rsidRDefault="007F04EE">
            <w:pPr>
              <w:widowControl w:val="0"/>
              <w:spacing w:after="0"/>
              <w:ind w:left="0"/>
            </w:pPr>
            <w:hyperlink r:id="rId61">
              <w:r>
                <w:rPr>
                  <w:color w:val="1155CC"/>
                  <w:u w:val="single"/>
                </w:rPr>
                <w:t>draft_WCPFC18-2021-TCC17:</w:t>
              </w:r>
            </w:hyperlink>
            <w:r>
              <w:t xml:space="preserve"> Draft TCC17 Summary Report - for participant comments</w:t>
            </w:r>
          </w:p>
          <w:p w:rsidR="0072721E" w:rsidRDefault="0072721E">
            <w:pPr>
              <w:widowControl w:val="0"/>
              <w:spacing w:after="0"/>
              <w:ind w:left="0"/>
              <w:rPr>
                <w:i/>
              </w:rPr>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recommendations from the SC17 and TCC17 on the information from Indonesia and Philippines that will inform the Commission on their assessments under paragraph 51 of the CMM2020-01,  will be discussed under this agenda item. Both SC17 and TCC17 agreed on the recommendations on the fisheries to be excluded and included under paragraph 51 for the Commission’s consideration. Indonesia provided annual catch estimates from its ‘large-fish’ handline fishery for the period 2013-16 as requested by TCC17. Indonesia in </w:t>
            </w:r>
            <w:hyperlink r:id="rId62">
              <w:r>
                <w:rPr>
                  <w:color w:val="1155CC"/>
                  <w:u w:val="single"/>
                </w:rPr>
                <w:t>WCFPC18-2021-24:</w:t>
              </w:r>
            </w:hyperlink>
            <w:r>
              <w:t xml:space="preserve"> invites the WCPFC18 to review and consider the baseline of 12,682mt (maximum catch for the 2013-2016 period) for this fishery.</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(CMM 2020-01)</w:t>
            </w:r>
          </w:p>
          <w:p w:rsidR="0072721E" w:rsidRDefault="007F04EE">
            <w:pPr>
              <w:widowControl w:val="0"/>
              <w:spacing w:after="0"/>
              <w:ind w:left="0"/>
              <w:rPr>
                <w:i/>
              </w:rPr>
            </w:pPr>
            <w:r>
              <w:rPr>
                <w:i/>
              </w:rPr>
              <w:t>50. To assist the Commission in the further development of provisions to manage the catch if bugeye, yellowfin, and skipjack tunas, the Scientific and Technical and Compliance Committees during their meeting in 2019 will provide advice to the Commission on which fisheries should be included in this effort and what information is needed to develop appropriate management measures for those fisheries.</w:t>
            </w:r>
          </w:p>
          <w:p w:rsidR="0072721E" w:rsidRDefault="0072721E">
            <w:pPr>
              <w:widowControl w:val="0"/>
              <w:spacing w:after="0"/>
              <w:ind w:left="0"/>
              <w:rPr>
                <w:i/>
              </w:rPr>
            </w:pPr>
          </w:p>
          <w:p w:rsidR="0072721E" w:rsidRDefault="007F04EE">
            <w:pPr>
              <w:widowControl w:val="0"/>
              <w:spacing w:after="0"/>
              <w:ind w:left="0"/>
              <w:rPr>
                <w:sz w:val="24"/>
                <w:szCs w:val="24"/>
              </w:rPr>
            </w:pPr>
            <w:r>
              <w:rPr>
                <w:i/>
              </w:rPr>
              <w:t>51. CCMs shall take necessary measures to ensure that the total catch of their respective other commercial tuna fisheries for bigeye, yellowfin or skipjack tuna, but excluding those fisheries taking less than 2,000 tonnes of bigeye, yellowfin and skipjack, shall not exceed either the average level for the period 2001-2004 or the level of 2004.</w:t>
            </w:r>
          </w:p>
          <w:p w:rsidR="0072721E" w:rsidRDefault="0072721E">
            <w:pPr>
              <w:widowControl w:val="0"/>
              <w:spacing w:after="0"/>
              <w:ind w:left="0"/>
            </w:pPr>
          </w:p>
          <w:p w:rsidR="0072721E" w:rsidRDefault="007F04EE">
            <w:pPr>
              <w:widowControl w:val="0"/>
              <w:spacing w:after="0"/>
              <w:ind w:left="0"/>
              <w:rPr>
                <w:color w:val="222222"/>
              </w:rPr>
            </w:pPr>
            <w:r>
              <w:t xml:space="preserve">WCPFC17 noted that Indonesia and Philippines had submitted delegation papers to SC16, TCC16 and WCPFC17 (including </w:t>
            </w:r>
            <w:hyperlink r:id="rId63">
              <w:r>
                <w:rPr>
                  <w:color w:val="1155CC"/>
                  <w:u w:val="single"/>
                </w:rPr>
                <w:t>WCPFC17-2020-DP04</w:t>
              </w:r>
            </w:hyperlink>
            <w:r>
              <w:t xml:space="preserve"> and </w:t>
            </w:r>
            <w:hyperlink r:id="rId64">
              <w:r>
                <w:rPr>
                  <w:color w:val="1155CC"/>
                  <w:u w:val="single"/>
                </w:rPr>
                <w:t>WCPFC17-2020-DP05</w:t>
              </w:r>
            </w:hyperlink>
            <w:r>
              <w:t xml:space="preserve"> respectively) in response to a request from TCC15 to inform the Commission discussion on the application of paragraph 51 of CMM 2020-01. However, the virtual format of these meetings made it difficult to consider these papers at SC16 and TCC16.  WCPFC17 tasked SC17 and TCC17 to review the papers and provide advice to WCPFC18 </w:t>
            </w:r>
            <w:r>
              <w:rPr>
                <w:i/>
              </w:rPr>
              <w:t>(</w:t>
            </w:r>
            <w:hyperlink r:id="rId65">
              <w:r>
                <w:rPr>
                  <w:i/>
                  <w:color w:val="1155CC"/>
                  <w:u w:val="single"/>
                </w:rPr>
                <w:t xml:space="preserve">WCPFC17 Summary Report </w:t>
              </w:r>
            </w:hyperlink>
            <w:r>
              <w:rPr>
                <w:i/>
              </w:rPr>
              <w:t>paragraph 198-200</w:t>
            </w:r>
            <w:r>
              <w:t>).</w:t>
            </w:r>
          </w:p>
          <w:p w:rsidR="0072721E" w:rsidRDefault="0072721E">
            <w:pPr>
              <w:widowControl w:val="0"/>
              <w:spacing w:after="0"/>
              <w:ind w:left="0"/>
            </w:pPr>
          </w:p>
          <w:p w:rsidR="0072721E" w:rsidRDefault="007F04EE">
            <w:pPr>
              <w:widowControl w:val="0"/>
              <w:spacing w:after="0"/>
              <w:ind w:left="0"/>
            </w:pPr>
            <w:r>
              <w:t>Indonesia and Philippines provided the information (</w:t>
            </w:r>
            <w:hyperlink r:id="rId66">
              <w:r>
                <w:rPr>
                  <w:color w:val="1155CC"/>
                  <w:u w:val="single"/>
                </w:rPr>
                <w:t>SC17-ST-IP-08</w:t>
              </w:r>
            </w:hyperlink>
            <w:r>
              <w:t xml:space="preserve"> and </w:t>
            </w:r>
            <w:hyperlink r:id="rId67">
              <w:r>
                <w:rPr>
                  <w:color w:val="1155CC"/>
                  <w:u w:val="single"/>
                </w:rPr>
                <w:t>SC17-ST-IP-09</w:t>
              </w:r>
            </w:hyperlink>
            <w:r>
              <w:t>) to the SC17 on detailed annual landings and port sampling data on their small-scale, artisanal gears. In addition to the information provided, both Indonesia and the Philippines regularly submit detailed annual landings and port sampling data to the SSP for small-scale, artisanal gears.</w:t>
            </w:r>
          </w:p>
          <w:p w:rsidR="0072721E" w:rsidRDefault="0072721E">
            <w:pPr>
              <w:widowControl w:val="0"/>
              <w:spacing w:after="0"/>
              <w:ind w:left="0"/>
            </w:pPr>
          </w:p>
          <w:p w:rsidR="0072721E" w:rsidRDefault="007F04EE">
            <w:pPr>
              <w:widowControl w:val="0"/>
              <w:spacing w:after="0"/>
              <w:ind w:left="0"/>
            </w:pPr>
            <w:r>
              <w:t xml:space="preserve">The SSP carried out an assessment for the requirements in paragraph 50 and 51 of the CMM 2020-01 and presented in the paper formulating the assessment in the paper </w:t>
            </w:r>
            <w:hyperlink r:id="rId68">
              <w:r>
                <w:rPr>
                  <w:color w:val="1155CC"/>
                  <w:u w:val="single"/>
                </w:rPr>
                <w:t>SC17-ST-WP-02</w:t>
              </w:r>
            </w:hyperlink>
            <w:r>
              <w:t xml:space="preserve">  at SC17. The assessment provided six recommendations which were discussed at SC17.</w:t>
            </w:r>
          </w:p>
          <w:p w:rsidR="0072721E" w:rsidRDefault="0072721E">
            <w:pPr>
              <w:widowControl w:val="0"/>
              <w:spacing w:after="0" w:line="276" w:lineRule="auto"/>
              <w:ind w:left="0"/>
              <w:rPr>
                <w:b/>
                <w:i/>
              </w:rPr>
            </w:pPr>
          </w:p>
          <w:p w:rsidR="0072721E" w:rsidRDefault="007F04EE">
            <w:pPr>
              <w:widowControl w:val="0"/>
              <w:spacing w:after="0" w:line="276" w:lineRule="auto"/>
              <w:ind w:left="0"/>
            </w:pPr>
            <w:r>
              <w:t>SC17 reviewed the information and provided recommendations for the Commission’s consideration.</w:t>
            </w:r>
          </w:p>
          <w:p w:rsidR="0072721E" w:rsidRDefault="0072721E">
            <w:pPr>
              <w:widowControl w:val="0"/>
              <w:spacing w:after="0" w:line="276" w:lineRule="auto"/>
              <w:ind w:left="0"/>
            </w:pPr>
          </w:p>
          <w:p w:rsidR="0072721E" w:rsidRDefault="007F04EE">
            <w:pPr>
              <w:widowControl w:val="0"/>
              <w:spacing w:after="0" w:line="276" w:lineRule="auto"/>
              <w:ind w:left="0"/>
            </w:pPr>
            <w:r>
              <w:t>TCC 17 was asked to note the recommendations from the SC17. TCC17 supported the recommendations from SC17 and provided recommendations for the Commission’s consideration.</w:t>
            </w:r>
          </w:p>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numPr>
                <w:ilvl w:val="0"/>
                <w:numId w:val="37"/>
              </w:numPr>
              <w:spacing w:after="0"/>
              <w:rPr>
                <w:rFonts w:ascii="Arial" w:eastAsia="Arial" w:hAnsi="Arial" w:cs="Arial"/>
                <w:i/>
              </w:rPr>
            </w:pPr>
            <w:r>
              <w:rPr>
                <w:b/>
                <w:i/>
              </w:rPr>
              <w:t>The recommendations from the SC17 are:</w:t>
            </w:r>
          </w:p>
          <w:p w:rsidR="0072721E" w:rsidRDefault="0072721E">
            <w:pPr>
              <w:widowControl w:val="0"/>
              <w:spacing w:after="0"/>
              <w:ind w:left="0"/>
              <w:rPr>
                <w:b/>
                <w:i/>
              </w:rPr>
            </w:pPr>
          </w:p>
          <w:p w:rsidR="0072721E" w:rsidRDefault="007F04EE">
            <w:pPr>
              <w:widowControl w:val="0"/>
              <w:numPr>
                <w:ilvl w:val="0"/>
                <w:numId w:val="15"/>
              </w:numPr>
              <w:spacing w:line="276" w:lineRule="auto"/>
            </w:pPr>
            <w:r>
              <w:t xml:space="preserve">SC17 noted that paragraph 3 of CMM 2020-01 limits the measure to the high seas and EEZs, and based on the information presented recommended that paragraph 51 </w:t>
            </w:r>
            <w:r>
              <w:rPr>
                <w:b/>
              </w:rPr>
              <w:t>does not</w:t>
            </w:r>
            <w:r>
              <w:t xml:space="preserve"> </w:t>
            </w:r>
            <w:r>
              <w:rPr>
                <w:b/>
              </w:rPr>
              <w:t>apply</w:t>
            </w:r>
            <w:r>
              <w:t xml:space="preserve"> to the following fisheries which are restricted to territorial seas and archipelagic waters:</w:t>
            </w:r>
          </w:p>
          <w:p w:rsidR="0072721E" w:rsidRDefault="007F04EE">
            <w:pPr>
              <w:widowControl w:val="0"/>
              <w:numPr>
                <w:ilvl w:val="1"/>
                <w:numId w:val="15"/>
              </w:numPr>
              <w:spacing w:after="0" w:line="276" w:lineRule="auto"/>
            </w:pPr>
            <w:r>
              <w:rPr>
                <w:sz w:val="14"/>
                <w:szCs w:val="14"/>
              </w:rPr>
              <w:t xml:space="preserve">      </w:t>
            </w:r>
            <w:r>
              <w:t>Small-scale hook-and-line fisheries</w:t>
            </w:r>
          </w:p>
          <w:p w:rsidR="0072721E" w:rsidRDefault="007F04EE">
            <w:pPr>
              <w:widowControl w:val="0"/>
              <w:numPr>
                <w:ilvl w:val="1"/>
                <w:numId w:val="15"/>
              </w:numPr>
              <w:spacing w:after="0" w:line="276" w:lineRule="auto"/>
            </w:pPr>
            <w:r>
              <w:rPr>
                <w:sz w:val="14"/>
                <w:szCs w:val="14"/>
              </w:rPr>
              <w:t xml:space="preserve">      </w:t>
            </w:r>
            <w:r>
              <w:t>Small-scale troll fisheries</w:t>
            </w:r>
          </w:p>
          <w:p w:rsidR="0072721E" w:rsidRDefault="007F04EE">
            <w:pPr>
              <w:widowControl w:val="0"/>
              <w:numPr>
                <w:ilvl w:val="1"/>
                <w:numId w:val="15"/>
              </w:numPr>
              <w:spacing w:after="0" w:line="276" w:lineRule="auto"/>
            </w:pPr>
            <w:r>
              <w:rPr>
                <w:sz w:val="14"/>
                <w:szCs w:val="14"/>
              </w:rPr>
              <w:t xml:space="preserve">     </w:t>
            </w:r>
            <w:r>
              <w:t>Small-scale gillnet fisheries</w:t>
            </w:r>
          </w:p>
          <w:p w:rsidR="0072721E" w:rsidRDefault="007F04EE">
            <w:pPr>
              <w:widowControl w:val="0"/>
              <w:numPr>
                <w:ilvl w:val="1"/>
                <w:numId w:val="15"/>
              </w:numPr>
              <w:spacing w:after="0" w:line="276" w:lineRule="auto"/>
            </w:pPr>
            <w:r>
              <w:rPr>
                <w:sz w:val="14"/>
                <w:szCs w:val="14"/>
              </w:rPr>
              <w:t xml:space="preserve">     </w:t>
            </w:r>
            <w:r>
              <w:t>Small-scale pole and line (funai – Indonesia)</w:t>
            </w:r>
          </w:p>
          <w:p w:rsidR="0072721E" w:rsidRDefault="007F04EE">
            <w:pPr>
              <w:widowControl w:val="0"/>
              <w:numPr>
                <w:ilvl w:val="1"/>
                <w:numId w:val="15"/>
              </w:numPr>
              <w:spacing w:after="0" w:line="276" w:lineRule="auto"/>
            </w:pPr>
            <w:r>
              <w:rPr>
                <w:sz w:val="14"/>
                <w:szCs w:val="14"/>
              </w:rPr>
              <w:t xml:space="preserve">      </w:t>
            </w:r>
            <w:r>
              <w:t>Pajeko (Indonesia mini-purse seine)</w:t>
            </w:r>
          </w:p>
          <w:p w:rsidR="0072721E" w:rsidRDefault="007F04EE">
            <w:pPr>
              <w:widowControl w:val="0"/>
              <w:numPr>
                <w:ilvl w:val="1"/>
                <w:numId w:val="15"/>
              </w:numPr>
              <w:spacing w:after="0" w:line="276" w:lineRule="auto"/>
            </w:pPr>
            <w:r>
              <w:rPr>
                <w:sz w:val="14"/>
                <w:szCs w:val="14"/>
              </w:rPr>
              <w:t xml:space="preserve">   </w:t>
            </w:r>
            <w:r>
              <w:t>Bagnet, beach seine, artisanal longline and other artisanal gears with very minor tuna catch</w:t>
            </w:r>
          </w:p>
          <w:p w:rsidR="0072721E" w:rsidRDefault="007F04EE">
            <w:pPr>
              <w:widowControl w:val="0"/>
              <w:numPr>
                <w:ilvl w:val="0"/>
                <w:numId w:val="15"/>
              </w:numPr>
              <w:spacing w:line="276" w:lineRule="auto"/>
            </w:pPr>
            <w:r>
              <w:t xml:space="preserve">SC17 recommended that paragraph 51 of CMM 2020-01 </w:t>
            </w:r>
            <w:r>
              <w:rPr>
                <w:b/>
              </w:rPr>
              <w:t xml:space="preserve">does apply </w:t>
            </w:r>
            <w:r>
              <w:t>to the following fisheries:</w:t>
            </w:r>
          </w:p>
          <w:p w:rsidR="0072721E" w:rsidRDefault="007F04EE">
            <w:pPr>
              <w:widowControl w:val="0"/>
              <w:numPr>
                <w:ilvl w:val="1"/>
                <w:numId w:val="15"/>
              </w:numPr>
              <w:spacing w:after="0" w:line="276" w:lineRule="auto"/>
            </w:pPr>
            <w:r>
              <w:rPr>
                <w:sz w:val="14"/>
                <w:szCs w:val="14"/>
              </w:rPr>
              <w:t xml:space="preserve">       </w:t>
            </w:r>
            <w:r>
              <w:t>Indonesia Pole and Line Fishery fishing outside archipelagic waters and territorial seas for vessels &gt;30 GT, and</w:t>
            </w:r>
          </w:p>
          <w:p w:rsidR="0072721E" w:rsidRDefault="007F04EE">
            <w:pPr>
              <w:widowControl w:val="0"/>
              <w:numPr>
                <w:ilvl w:val="1"/>
                <w:numId w:val="15"/>
              </w:numPr>
              <w:spacing w:after="0" w:line="276" w:lineRule="auto"/>
            </w:pPr>
            <w:r>
              <w:rPr>
                <w:sz w:val="14"/>
                <w:szCs w:val="14"/>
              </w:rPr>
              <w:t xml:space="preserve">       </w:t>
            </w:r>
            <w:r>
              <w:t>The “large-fish” Handline fishery in Indonesia and the Philippines fishing outside archipelagic waters and territorial seas for vessels &gt;30 GT.</w:t>
            </w:r>
          </w:p>
          <w:p w:rsidR="0072721E" w:rsidRDefault="0072721E">
            <w:pPr>
              <w:widowControl w:val="0"/>
              <w:spacing w:after="0" w:line="276" w:lineRule="auto"/>
              <w:ind w:left="0"/>
            </w:pPr>
          </w:p>
          <w:p w:rsidR="0072721E" w:rsidRDefault="007F04EE">
            <w:pPr>
              <w:widowControl w:val="0"/>
              <w:numPr>
                <w:ilvl w:val="0"/>
                <w:numId w:val="15"/>
              </w:numPr>
              <w:spacing w:line="276" w:lineRule="auto"/>
            </w:pPr>
            <w:r>
              <w:t>SC17 recognized that sufficient data exist to determine a baseline and annual catches for the Indonesia pole-and-line fishery and the Philippines large-fish handline fishery.</w:t>
            </w:r>
          </w:p>
          <w:p w:rsidR="0072721E" w:rsidRDefault="007F04EE">
            <w:pPr>
              <w:widowControl w:val="0"/>
              <w:numPr>
                <w:ilvl w:val="0"/>
                <w:numId w:val="15"/>
              </w:numPr>
              <w:spacing w:line="276" w:lineRule="auto"/>
            </w:pPr>
            <w:r>
              <w:t>SC17 recognized that insufficient data exist to derive a baseline for the Indonesia large-fish handline fishery, and suggests that WCPFC consider developing a baseline using years where data are available.</w:t>
            </w:r>
          </w:p>
          <w:p w:rsidR="0072721E" w:rsidRDefault="007F04EE">
            <w:pPr>
              <w:widowControl w:val="0"/>
              <w:numPr>
                <w:ilvl w:val="0"/>
                <w:numId w:val="15"/>
              </w:numPr>
            </w:pPr>
            <w:r>
              <w:t>Although CMM 2020-01 is not applicable to archipelagic waters, SC17 encouraged Indonesia and the Philippines to provide data from fisheries that operate in those areas for scientific purposes.</w:t>
            </w:r>
          </w:p>
          <w:p w:rsidR="0072721E" w:rsidRDefault="0072721E">
            <w:pPr>
              <w:widowControl w:val="0"/>
              <w:spacing w:after="0"/>
              <w:ind w:left="0"/>
            </w:pPr>
          </w:p>
          <w:p w:rsidR="0072721E" w:rsidRDefault="007F04EE">
            <w:pPr>
              <w:widowControl w:val="0"/>
              <w:numPr>
                <w:ilvl w:val="0"/>
                <w:numId w:val="37"/>
              </w:numPr>
              <w:spacing w:after="0"/>
              <w:rPr>
                <w:rFonts w:ascii="Arial" w:eastAsia="Arial" w:hAnsi="Arial" w:cs="Arial"/>
                <w:i/>
              </w:rPr>
            </w:pPr>
            <w:r>
              <w:rPr>
                <w:b/>
              </w:rPr>
              <w:t>Recommendations from the TCC17.</w:t>
            </w:r>
          </w:p>
          <w:p w:rsidR="0072721E" w:rsidRDefault="0072721E">
            <w:pPr>
              <w:widowControl w:val="0"/>
              <w:spacing w:after="0"/>
              <w:ind w:left="720"/>
              <w:rPr>
                <w:b/>
              </w:rPr>
            </w:pPr>
          </w:p>
          <w:p w:rsidR="0072721E" w:rsidRDefault="007F04EE">
            <w:pPr>
              <w:widowControl w:val="0"/>
              <w:spacing w:after="0"/>
              <w:ind w:left="720"/>
            </w:pPr>
            <w:r>
              <w:t>TCC17 supported the SC17 recommendations related to the application of paragraph 51 CMM2020-01 noting:</w:t>
            </w:r>
          </w:p>
          <w:p w:rsidR="0072721E" w:rsidRDefault="007F04EE">
            <w:pPr>
              <w:widowControl w:val="0"/>
              <w:numPr>
                <w:ilvl w:val="1"/>
                <w:numId w:val="37"/>
              </w:numPr>
              <w:spacing w:after="0"/>
            </w:pPr>
            <w:r>
              <w:t>That in TCC’s views paragraph 51 does not currently affect the following fisheries which are restricted to TW and AW</w:t>
            </w:r>
          </w:p>
          <w:p w:rsidR="0072721E" w:rsidRDefault="007F04EE">
            <w:pPr>
              <w:widowControl w:val="0"/>
              <w:numPr>
                <w:ilvl w:val="2"/>
                <w:numId w:val="37"/>
              </w:numPr>
              <w:spacing w:after="0"/>
            </w:pPr>
            <w:r>
              <w:t>Small-scale hook and line fisheries</w:t>
            </w:r>
          </w:p>
          <w:p w:rsidR="0072721E" w:rsidRDefault="007F04EE">
            <w:pPr>
              <w:widowControl w:val="0"/>
              <w:numPr>
                <w:ilvl w:val="2"/>
                <w:numId w:val="37"/>
              </w:numPr>
              <w:spacing w:after="0"/>
            </w:pPr>
            <w:r>
              <w:t>Small -scare troll fisheries</w:t>
            </w:r>
          </w:p>
          <w:p w:rsidR="0072721E" w:rsidRDefault="007F04EE">
            <w:pPr>
              <w:widowControl w:val="0"/>
              <w:numPr>
                <w:ilvl w:val="2"/>
                <w:numId w:val="37"/>
              </w:numPr>
              <w:spacing w:after="0"/>
            </w:pPr>
            <w:r>
              <w:t>Small-scale gillnet fisheries</w:t>
            </w:r>
          </w:p>
          <w:p w:rsidR="0072721E" w:rsidRDefault="007F04EE">
            <w:pPr>
              <w:widowControl w:val="0"/>
              <w:numPr>
                <w:ilvl w:val="2"/>
                <w:numId w:val="37"/>
              </w:numPr>
              <w:spacing w:after="0"/>
            </w:pPr>
            <w:r>
              <w:t>Small-scale pole and line (funai-Indonesia)</w:t>
            </w:r>
          </w:p>
          <w:p w:rsidR="0072721E" w:rsidRDefault="007F04EE">
            <w:pPr>
              <w:widowControl w:val="0"/>
              <w:numPr>
                <w:ilvl w:val="2"/>
                <w:numId w:val="37"/>
              </w:numPr>
              <w:spacing w:after="0"/>
            </w:pPr>
            <w:r>
              <w:t>Pajeko (Indonesia mini-purse seine)</w:t>
            </w:r>
          </w:p>
          <w:p w:rsidR="0072721E" w:rsidRDefault="007F04EE">
            <w:pPr>
              <w:widowControl w:val="0"/>
              <w:numPr>
                <w:ilvl w:val="2"/>
                <w:numId w:val="37"/>
              </w:numPr>
              <w:spacing w:after="0"/>
            </w:pPr>
            <w:r>
              <w:t>Bagnet, beachseine, artisanal longline and other artisanal gears with very minor tuna catch.</w:t>
            </w:r>
          </w:p>
          <w:p w:rsidR="0072721E" w:rsidRDefault="007F04EE">
            <w:pPr>
              <w:widowControl w:val="0"/>
              <w:numPr>
                <w:ilvl w:val="1"/>
                <w:numId w:val="37"/>
              </w:numPr>
              <w:spacing w:after="0"/>
            </w:pPr>
            <w:r>
              <w:t>That in TCC’s view that paragraph 51 of CMM 2020-01 currently effects the following fisheries:</w:t>
            </w:r>
          </w:p>
          <w:p w:rsidR="0072721E" w:rsidRDefault="007F04EE">
            <w:pPr>
              <w:widowControl w:val="0"/>
              <w:numPr>
                <w:ilvl w:val="2"/>
                <w:numId w:val="37"/>
              </w:numPr>
              <w:spacing w:after="0"/>
            </w:pPr>
            <w:r>
              <w:t xml:space="preserve">Indonesian Pole and Line Fishery fishing outside AW and TWs for vessels &gt;30GT, and </w:t>
            </w:r>
          </w:p>
          <w:p w:rsidR="0072721E" w:rsidRDefault="007F04EE">
            <w:pPr>
              <w:widowControl w:val="0"/>
              <w:numPr>
                <w:ilvl w:val="2"/>
                <w:numId w:val="37"/>
              </w:numPr>
              <w:spacing w:after="0"/>
            </w:pPr>
            <w:r>
              <w:t>The “large-fish” Handline fishery in Indonesia and the Philippines fishing outside AW and TW for vessels &gt;30GT.</w:t>
            </w:r>
          </w:p>
          <w:p w:rsidR="0072721E" w:rsidRDefault="007F04EE">
            <w:pPr>
              <w:widowControl w:val="0"/>
              <w:spacing w:after="0"/>
              <w:ind w:left="720"/>
            </w:pPr>
            <w:r>
              <w:t>TCC17 noted that sufficient data exist to determine a baseline and annual catches for Indonesia pole-and-line fishery and the Philippines large-fish handline fishery.</w:t>
            </w:r>
          </w:p>
          <w:p w:rsidR="0072721E" w:rsidRDefault="007F04EE">
            <w:pPr>
              <w:widowControl w:val="0"/>
              <w:spacing w:after="0"/>
              <w:ind w:left="720"/>
            </w:pPr>
            <w:r>
              <w:t>TCC17 requests Indonesia and the Scientific Services Provider to provide and present to the Commission, the annual catch estimates for the “large fish” Handline fishery in Indonesia fishing outside AW and TS for vessels &gt;30GT or the maximum years, due to the absence of data for 2001-2004, for WCPFC18 consideration. This could help advise an appropriate revision of paragraph 51.</w:t>
            </w:r>
          </w:p>
          <w:p w:rsidR="0072721E" w:rsidRDefault="0072721E">
            <w:pPr>
              <w:widowControl w:val="0"/>
              <w:spacing w:after="0"/>
              <w:ind w:left="720"/>
            </w:pPr>
          </w:p>
          <w:p w:rsidR="0072721E" w:rsidRDefault="007F04EE">
            <w:pPr>
              <w:widowControl w:val="0"/>
              <w:numPr>
                <w:ilvl w:val="0"/>
                <w:numId w:val="37"/>
              </w:numPr>
              <w:spacing w:after="0"/>
            </w:pPr>
            <w:r>
              <w:t xml:space="preserve">Indonesia provided the information requested by the TCC17 (paragraph 179) in the paper </w:t>
            </w:r>
            <w:hyperlink r:id="rId69">
              <w:r>
                <w:rPr>
                  <w:color w:val="1155CC"/>
                  <w:u w:val="single"/>
                </w:rPr>
                <w:t>WCFPC18-2021-24</w:t>
              </w:r>
            </w:hyperlink>
            <w:r>
              <w:t>. In summary, Indonesia provided a breakdown of annual catch estimates for the domestic “large-fish” from its EEZ and catches from its AW for the period of 2013-2016. Noting that catches taken from inside Indonesia's AW are outside the scope of the tropical tuna measure.</w:t>
            </w:r>
          </w:p>
          <w:p w:rsidR="0072721E" w:rsidRDefault="0072721E">
            <w:pPr>
              <w:widowControl w:val="0"/>
              <w:spacing w:after="0"/>
              <w:ind w:left="720"/>
            </w:pPr>
          </w:p>
          <w:p w:rsidR="0072721E" w:rsidRDefault="007F04EE">
            <w:pPr>
              <w:widowControl w:val="0"/>
              <w:numPr>
                <w:ilvl w:val="0"/>
                <w:numId w:val="37"/>
              </w:numPr>
              <w:spacing w:after="0"/>
              <w:rPr>
                <w:rFonts w:ascii="Arial" w:eastAsia="Arial" w:hAnsi="Arial" w:cs="Arial"/>
                <w:i/>
                <w:sz w:val="20"/>
                <w:szCs w:val="20"/>
              </w:rPr>
            </w:pPr>
            <w:r>
              <w:rPr>
                <w:i/>
                <w:sz w:val="20"/>
                <w:szCs w:val="20"/>
              </w:rPr>
              <w:t>Table 1: Annual tuna (skipjack, yellowfin and bigeye) catch estimates for Indonesia's “large fish” handline fishery..</w:t>
            </w:r>
          </w:p>
          <w:tbl>
            <w:tblPr>
              <w:tblStyle w:val="af0"/>
              <w:tblW w:w="5325" w:type="dxa"/>
              <w:tblInd w:w="15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40"/>
              <w:gridCol w:w="945"/>
              <w:gridCol w:w="915"/>
              <w:gridCol w:w="945"/>
              <w:gridCol w:w="1080"/>
            </w:tblGrid>
            <w:tr w:rsidR="0072721E">
              <w:trPr>
                <w:trHeight w:val="420"/>
              </w:trPr>
              <w:tc>
                <w:tcPr>
                  <w:tcW w:w="1440" w:type="dxa"/>
                  <w:vMerge w:val="restart"/>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Year</w:t>
                  </w:r>
                </w:p>
              </w:tc>
              <w:tc>
                <w:tcPr>
                  <w:tcW w:w="3885" w:type="dxa"/>
                  <w:gridSpan w:val="4"/>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Tropical Tuna catch estimates</w:t>
                  </w:r>
                </w:p>
              </w:tc>
            </w:tr>
            <w:tr w:rsidR="0072721E">
              <w:trPr>
                <w:trHeight w:val="420"/>
              </w:trPr>
              <w:tc>
                <w:tcPr>
                  <w:tcW w:w="1440" w:type="dxa"/>
                  <w:vMerge/>
                  <w:shd w:val="clear" w:color="auto" w:fill="auto"/>
                  <w:tcMar>
                    <w:top w:w="100" w:type="dxa"/>
                    <w:left w:w="100" w:type="dxa"/>
                    <w:bottom w:w="100" w:type="dxa"/>
                    <w:right w:w="100" w:type="dxa"/>
                  </w:tcMar>
                </w:tcPr>
                <w:p w:rsidR="0072721E" w:rsidRDefault="0072721E">
                  <w:pPr>
                    <w:widowControl w:val="0"/>
                    <w:spacing w:after="0"/>
                    <w:ind w:left="0"/>
                  </w:pPr>
                </w:p>
              </w:tc>
              <w:tc>
                <w:tcPr>
                  <w:tcW w:w="1860" w:type="dxa"/>
                  <w:gridSpan w:val="2"/>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EEZ</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AWs/TS</w:t>
                  </w:r>
                </w:p>
              </w:tc>
              <w:tc>
                <w:tcPr>
                  <w:tcW w:w="1080"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Total</w:t>
                  </w:r>
                </w:p>
              </w:tc>
            </w:tr>
            <w:tr w:rsidR="0072721E">
              <w:trPr>
                <w:trHeight w:val="420"/>
              </w:trPr>
              <w:tc>
                <w:tcPr>
                  <w:tcW w:w="1440" w:type="dxa"/>
                  <w:vMerge/>
                  <w:shd w:val="clear" w:color="auto" w:fill="auto"/>
                  <w:tcMar>
                    <w:top w:w="100" w:type="dxa"/>
                    <w:left w:w="100" w:type="dxa"/>
                    <w:bottom w:w="100" w:type="dxa"/>
                    <w:right w:w="100" w:type="dxa"/>
                  </w:tcMar>
                </w:tcPr>
                <w:p w:rsidR="0072721E" w:rsidRDefault="0072721E">
                  <w:pPr>
                    <w:widowControl w:val="0"/>
                    <w:spacing w:after="0"/>
                    <w:ind w:left="0"/>
                  </w:pP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MT</w:t>
                  </w:r>
                </w:p>
              </w:tc>
              <w:tc>
                <w:tcPr>
                  <w:tcW w:w="91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MT</w:t>
                  </w:r>
                </w:p>
              </w:tc>
              <w:tc>
                <w:tcPr>
                  <w:tcW w:w="1080"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MT</w:t>
                  </w:r>
                </w:p>
              </w:tc>
            </w:tr>
            <w:tr w:rsidR="0072721E">
              <w:tc>
                <w:tcPr>
                  <w:tcW w:w="1440" w:type="dxa"/>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2013</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2,642</w:t>
                  </w:r>
                </w:p>
              </w:tc>
              <w:tc>
                <w:tcPr>
                  <w:tcW w:w="91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22</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9,138</w:t>
                  </w:r>
                </w:p>
              </w:tc>
              <w:tc>
                <w:tcPr>
                  <w:tcW w:w="1080" w:type="dxa"/>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11,780</w:t>
                  </w:r>
                </w:p>
              </w:tc>
            </w:tr>
            <w:tr w:rsidR="0072721E">
              <w:tc>
                <w:tcPr>
                  <w:tcW w:w="1440" w:type="dxa"/>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2014</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9,376</w:t>
                  </w:r>
                </w:p>
              </w:tc>
              <w:tc>
                <w:tcPr>
                  <w:tcW w:w="91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37</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15,857</w:t>
                  </w:r>
                </w:p>
              </w:tc>
              <w:tc>
                <w:tcPr>
                  <w:tcW w:w="1080" w:type="dxa"/>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25,236</w:t>
                  </w:r>
                </w:p>
              </w:tc>
            </w:tr>
            <w:tr w:rsidR="0072721E">
              <w:tc>
                <w:tcPr>
                  <w:tcW w:w="1440" w:type="dxa"/>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2015</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12,682</w:t>
                  </w:r>
                </w:p>
              </w:tc>
              <w:tc>
                <w:tcPr>
                  <w:tcW w:w="91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39</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19,821</w:t>
                  </w:r>
                </w:p>
              </w:tc>
              <w:tc>
                <w:tcPr>
                  <w:tcW w:w="1080" w:type="dxa"/>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32,503</w:t>
                  </w:r>
                </w:p>
              </w:tc>
            </w:tr>
            <w:tr w:rsidR="0072721E">
              <w:trPr>
                <w:trHeight w:val="455"/>
              </w:trPr>
              <w:tc>
                <w:tcPr>
                  <w:tcW w:w="1440" w:type="dxa"/>
                  <w:tcBorders>
                    <w:bottom w:val="single" w:sz="24" w:space="0" w:color="000000"/>
                  </w:tcBorders>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2016</w:t>
                  </w:r>
                </w:p>
              </w:tc>
              <w:tc>
                <w:tcPr>
                  <w:tcW w:w="945" w:type="dxa"/>
                  <w:tcBorders>
                    <w:bottom w:val="single" w:sz="24" w:space="0" w:color="000000"/>
                  </w:tcBorders>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8,377</w:t>
                  </w:r>
                </w:p>
              </w:tc>
              <w:tc>
                <w:tcPr>
                  <w:tcW w:w="915" w:type="dxa"/>
                  <w:tcBorders>
                    <w:bottom w:val="single" w:sz="24" w:space="0" w:color="000000"/>
                  </w:tcBorders>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37</w:t>
                  </w:r>
                </w:p>
              </w:tc>
              <w:tc>
                <w:tcPr>
                  <w:tcW w:w="945" w:type="dxa"/>
                  <w:tcBorders>
                    <w:bottom w:val="single" w:sz="24" w:space="0" w:color="000000"/>
                  </w:tcBorders>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14,159</w:t>
                  </w:r>
                </w:p>
              </w:tc>
              <w:tc>
                <w:tcPr>
                  <w:tcW w:w="1080" w:type="dxa"/>
                  <w:tcBorders>
                    <w:bottom w:val="single" w:sz="24" w:space="0" w:color="000000"/>
                  </w:tcBorders>
                  <w:shd w:val="clear" w:color="auto" w:fill="auto"/>
                  <w:tcMar>
                    <w:top w:w="100" w:type="dxa"/>
                    <w:left w:w="100" w:type="dxa"/>
                    <w:bottom w:w="100" w:type="dxa"/>
                    <w:right w:w="100" w:type="dxa"/>
                  </w:tcMar>
                </w:tcPr>
                <w:p w:rsidR="0072721E" w:rsidRDefault="007F04EE">
                  <w:pPr>
                    <w:widowControl w:val="0"/>
                    <w:spacing w:after="0"/>
                    <w:ind w:left="0"/>
                    <w:rPr>
                      <w:color w:val="999999"/>
                      <w:sz w:val="20"/>
                      <w:szCs w:val="20"/>
                    </w:rPr>
                  </w:pPr>
                  <w:r>
                    <w:rPr>
                      <w:color w:val="999999"/>
                      <w:sz w:val="20"/>
                      <w:szCs w:val="20"/>
                    </w:rPr>
                    <w:t>22,536</w:t>
                  </w:r>
                </w:p>
              </w:tc>
            </w:tr>
            <w:tr w:rsidR="0072721E">
              <w:tc>
                <w:tcPr>
                  <w:tcW w:w="1440" w:type="dxa"/>
                  <w:tcBorders>
                    <w:top w:val="single" w:sz="24" w:space="0" w:color="000000"/>
                  </w:tcBorders>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Av. ‘13-’16</w:t>
                  </w:r>
                </w:p>
              </w:tc>
              <w:tc>
                <w:tcPr>
                  <w:tcW w:w="945" w:type="dxa"/>
                  <w:tcBorders>
                    <w:top w:val="single" w:sz="24" w:space="0" w:color="000000"/>
                  </w:tcBorders>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8,270</w:t>
                  </w:r>
                </w:p>
              </w:tc>
              <w:tc>
                <w:tcPr>
                  <w:tcW w:w="915" w:type="dxa"/>
                  <w:tcBorders>
                    <w:top w:val="single" w:sz="24" w:space="0" w:color="000000"/>
                  </w:tcBorders>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c>
                <w:tcPr>
                  <w:tcW w:w="945" w:type="dxa"/>
                  <w:tcBorders>
                    <w:top w:val="single" w:sz="24" w:space="0" w:color="000000"/>
                  </w:tcBorders>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c>
                <w:tcPr>
                  <w:tcW w:w="1080" w:type="dxa"/>
                  <w:tcBorders>
                    <w:top w:val="single" w:sz="24" w:space="0" w:color="000000"/>
                  </w:tcBorders>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r>
            <w:tr w:rsidR="0072721E">
              <w:tc>
                <w:tcPr>
                  <w:tcW w:w="1440" w:type="dxa"/>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Av.’14-’16</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10,146</w:t>
                  </w:r>
                </w:p>
              </w:tc>
              <w:tc>
                <w:tcPr>
                  <w:tcW w:w="915" w:type="dxa"/>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c>
                <w:tcPr>
                  <w:tcW w:w="945" w:type="dxa"/>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c>
                <w:tcPr>
                  <w:tcW w:w="1080" w:type="dxa"/>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r>
            <w:tr w:rsidR="0072721E">
              <w:tc>
                <w:tcPr>
                  <w:tcW w:w="1440" w:type="dxa"/>
                  <w:shd w:val="clear" w:color="auto" w:fill="auto"/>
                  <w:tcMar>
                    <w:top w:w="100" w:type="dxa"/>
                    <w:left w:w="100" w:type="dxa"/>
                    <w:bottom w:w="100" w:type="dxa"/>
                    <w:right w:w="100" w:type="dxa"/>
                  </w:tcMar>
                </w:tcPr>
                <w:p w:rsidR="0072721E" w:rsidRDefault="007F04EE">
                  <w:pPr>
                    <w:widowControl w:val="0"/>
                    <w:spacing w:after="0"/>
                    <w:ind w:left="0"/>
                    <w:rPr>
                      <w:b/>
                      <w:sz w:val="20"/>
                      <w:szCs w:val="20"/>
                    </w:rPr>
                  </w:pPr>
                  <w:r>
                    <w:rPr>
                      <w:b/>
                      <w:sz w:val="20"/>
                      <w:szCs w:val="20"/>
                    </w:rPr>
                    <w:t>Max ‘13-’16</w:t>
                  </w:r>
                </w:p>
              </w:tc>
              <w:tc>
                <w:tcPr>
                  <w:tcW w:w="94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rPr>
                      <w:sz w:val="20"/>
                      <w:szCs w:val="20"/>
                    </w:rPr>
                    <w:t>12,682</w:t>
                  </w:r>
                </w:p>
              </w:tc>
              <w:tc>
                <w:tcPr>
                  <w:tcW w:w="915" w:type="dxa"/>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c>
                <w:tcPr>
                  <w:tcW w:w="945" w:type="dxa"/>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c>
                <w:tcPr>
                  <w:tcW w:w="1080" w:type="dxa"/>
                  <w:shd w:val="clear" w:color="auto" w:fill="auto"/>
                  <w:tcMar>
                    <w:top w:w="100" w:type="dxa"/>
                    <w:left w:w="100" w:type="dxa"/>
                    <w:bottom w:w="100" w:type="dxa"/>
                    <w:right w:w="100" w:type="dxa"/>
                  </w:tcMar>
                </w:tcPr>
                <w:p w:rsidR="0072721E" w:rsidRDefault="0072721E">
                  <w:pPr>
                    <w:widowControl w:val="0"/>
                    <w:spacing w:after="0"/>
                    <w:ind w:left="0"/>
                    <w:rPr>
                      <w:sz w:val="20"/>
                      <w:szCs w:val="20"/>
                    </w:rPr>
                  </w:pPr>
                </w:p>
              </w:tc>
            </w:tr>
          </w:tbl>
          <w:p w:rsidR="0072721E" w:rsidRDefault="007F04EE">
            <w:pPr>
              <w:widowControl w:val="0"/>
              <w:spacing w:after="0"/>
              <w:ind w:left="2880"/>
              <w:rPr>
                <w:b/>
                <w:i/>
                <w:sz w:val="20"/>
                <w:szCs w:val="20"/>
              </w:rPr>
            </w:pPr>
            <w:r>
              <w:rPr>
                <w:b/>
                <w:i/>
                <w:sz w:val="20"/>
                <w:szCs w:val="20"/>
              </w:rPr>
              <w:t xml:space="preserve">Extracted from Table 1 in </w:t>
            </w:r>
            <w:hyperlink r:id="rId70">
              <w:r>
                <w:rPr>
                  <w:b/>
                  <w:i/>
                  <w:color w:val="1155CC"/>
                  <w:sz w:val="20"/>
                  <w:szCs w:val="20"/>
                  <w:u w:val="single"/>
                </w:rPr>
                <w:t>WCFPC18-2021-24</w:t>
              </w:r>
            </w:hyperlink>
            <w:r>
              <w:rPr>
                <w:b/>
                <w:i/>
                <w:sz w:val="20"/>
                <w:szCs w:val="20"/>
              </w:rPr>
              <w:t>.</w:t>
            </w:r>
          </w:p>
          <w:p w:rsidR="0072721E" w:rsidRDefault="007F04EE">
            <w:pPr>
              <w:widowControl w:val="0"/>
              <w:numPr>
                <w:ilvl w:val="0"/>
                <w:numId w:val="37"/>
              </w:numPr>
              <w:spacing w:after="0"/>
            </w:pPr>
            <w:r>
              <w:t>From this recent information provided by Indonesia, it will be very useful going forward to inform the SC and TCC on how to assess Indonesia under the current  and future Tropical Tuna Measure.</w:t>
            </w:r>
          </w:p>
          <w:p w:rsidR="0072721E" w:rsidRDefault="0072721E">
            <w:pPr>
              <w:widowControl w:val="0"/>
              <w:spacing w:after="0"/>
              <w:ind w:left="720"/>
            </w:pPr>
          </w:p>
          <w:p w:rsidR="0072721E" w:rsidRDefault="007F04EE">
            <w:pPr>
              <w:widowControl w:val="0"/>
              <w:numPr>
                <w:ilvl w:val="0"/>
                <w:numId w:val="37"/>
              </w:numPr>
              <w:spacing w:after="0"/>
            </w:pPr>
            <w:r>
              <w:t xml:space="preserve">Noting that in the paper </w:t>
            </w:r>
            <w:hyperlink r:id="rId71">
              <w:r>
                <w:rPr>
                  <w:b/>
                  <w:i/>
                  <w:color w:val="1155CC"/>
                  <w:sz w:val="20"/>
                  <w:szCs w:val="20"/>
                  <w:u w:val="single"/>
                </w:rPr>
                <w:t>WCFPC18-2021-24</w:t>
              </w:r>
            </w:hyperlink>
            <w:r>
              <w:t>, Indonesia is asking WCPFC18 to review and consider the baseline of 12,582mt (maximum annual catch in the period 2013-2016) as the limit applied to Indonesia’s “large-fish” handline fishery.</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Note the similar recommendations from the SC17 and TCC17 for the Commission’s endorsement.</w:t>
            </w:r>
          </w:p>
          <w:p w:rsidR="0072721E" w:rsidRDefault="0072721E">
            <w:pPr>
              <w:widowControl w:val="0"/>
              <w:spacing w:after="0"/>
              <w:ind w:left="0"/>
            </w:pPr>
          </w:p>
          <w:p w:rsidR="0072721E" w:rsidRDefault="007F04EE">
            <w:pPr>
              <w:widowControl w:val="0"/>
              <w:spacing w:after="0"/>
              <w:ind w:left="0"/>
            </w:pPr>
            <w:r>
              <w:t>We can note that the useful information  from Indonesia in the paper</w:t>
            </w:r>
            <w:hyperlink r:id="rId72">
              <w:r>
                <w:rPr>
                  <w:b/>
                  <w:i/>
                  <w:color w:val="1155CC"/>
                  <w:sz w:val="20"/>
                  <w:szCs w:val="20"/>
                  <w:u w:val="single"/>
                </w:rPr>
                <w:t>WCFPC18-2021-24</w:t>
              </w:r>
            </w:hyperlink>
            <w:r>
              <w:t xml:space="preserve"> for the SC and TCC going forward to provide the advice for appropriate revisions of the paragraph 51 of the Tropical tuna measure.</w:t>
            </w:r>
          </w:p>
          <w:p w:rsidR="0072721E" w:rsidRDefault="0072721E">
            <w:pPr>
              <w:widowControl w:val="0"/>
              <w:spacing w:after="0"/>
              <w:ind w:left="0"/>
            </w:pPr>
          </w:p>
          <w:p w:rsidR="0072721E" w:rsidRDefault="007F04EE">
            <w:pPr>
              <w:widowControl w:val="0"/>
              <w:spacing w:after="0"/>
              <w:ind w:left="0"/>
            </w:pPr>
            <w:r>
              <w:t>For Indonesia’s request to review and consider the baseline of 12,582mt (maximum annual catch in the period 2013-2016) as the limit applied to Indonesia’s “large-fish” handline fishery. Our membership will need more time to analyse this request; there is also due process in the Commission in considering such a proposal. We need to  understand the potential implications of asking for an overall limit for all tunas. This is not how we are managing the PS and LL fisheries. Thus we need more time to consider this and also for the SC and TCC to assess what the implications are to the limits and allocations discussions under the TTM.</w:t>
            </w:r>
          </w:p>
        </w:tc>
      </w:tr>
    </w:tbl>
    <w:p w:rsidR="0072721E" w:rsidRDefault="0072721E">
      <w:pPr>
        <w:ind w:left="0"/>
      </w:pPr>
    </w:p>
    <w:p w:rsidR="0072721E" w:rsidRDefault="007F04EE">
      <w:pPr>
        <w:ind w:left="0"/>
      </w:pPr>
      <w:r>
        <w:pict>
          <v:rect id="_x0000_i1035" style="width:0;height:1.5pt" o:hralign="center" o:hrstd="t" o:hr="t" fillcolor="#a0a0a0" stroked="f"/>
        </w:pict>
      </w:r>
    </w:p>
    <w:p w:rsidR="0072721E" w:rsidRDefault="0072721E">
      <w:pPr>
        <w:ind w:left="0"/>
      </w:pPr>
    </w:p>
    <w:tbl>
      <w:tblPr>
        <w:tblStyle w:val="af1"/>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sz w:val="24"/>
                <w:szCs w:val="24"/>
              </w:rPr>
            </w:pPr>
            <w:r>
              <w:rPr>
                <w:b/>
                <w:sz w:val="24"/>
                <w:szCs w:val="24"/>
              </w:rPr>
              <w:t>Primary Author</w:t>
            </w:r>
          </w:p>
          <w:p w:rsidR="0072721E" w:rsidRDefault="007F04EE">
            <w:pPr>
              <w:widowControl w:val="0"/>
              <w:spacing w:after="0"/>
              <w:ind w:left="0"/>
              <w:rPr>
                <w:b/>
                <w:sz w:val="24"/>
                <w:szCs w:val="24"/>
                <w:highlight w:val="yellow"/>
              </w:rPr>
            </w:pPr>
            <w:r>
              <w:rPr>
                <w:b/>
                <w:sz w:val="24"/>
                <w:szCs w:val="24"/>
                <w:highlight w:val="yellow"/>
              </w:rPr>
              <w:t>[SPC PRESENTATION]</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73">
              <w:r>
                <w:rPr>
                  <w:color w:val="0000EE"/>
                  <w:u w:val="single"/>
                </w:rPr>
                <w:t>Joyce Samuelu-Ah Leong</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32" w:name="_nbpp8xohm29" w:colFirst="0" w:colLast="0"/>
            <w:bookmarkEnd w:id="32"/>
            <w:r>
              <w:rPr>
                <w:i/>
              </w:rPr>
              <w:t xml:space="preserve"> 7.3.1 </w:t>
            </w:r>
            <w:r>
              <w:t>Review of the interim target reference point (South Pacific albacore)</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t>The Commission will review the interim target reference point for South Pacific albacore taking into account the advice of SC17 (Para 27, SC17 Outcomes Document) related to a recalibration of the interim TRP in accordance with the process agreed at WCPFC15 (Para 207, WCPFC15 Summary Report)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74">
              <w:r>
                <w:rPr>
                  <w:color w:val="1155CC"/>
                  <w:u w:val="single"/>
                </w:rPr>
                <w:t xml:space="preserve">WCFPC 18-2021-17: </w:t>
              </w:r>
            </w:hyperlink>
            <w:r>
              <w:t>Recalibration of the iTRP for the South Pacific Albacore</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recalibrated iTRP of </w:t>
            </w:r>
            <w:r>
              <w:rPr>
                <w:b/>
              </w:rPr>
              <w:t>68% SB</w:t>
            </w:r>
            <w:r>
              <w:rPr>
                <w:b/>
                <w:vertAlign w:val="subscript"/>
              </w:rPr>
              <w:t>F=0</w:t>
            </w:r>
            <w:r>
              <w:t xml:space="preserve"> for the SPA moves the goal post from the 56% agreed to by the Commission in 2018.  This also comes with higher required catch cuts in order to achieve the 8% increase in 2013 CPUE levels as agreed in 2018. The Commission will be discussing the recalibrated iTRP and, given the limited time available, it may be too early to make concrete decisions in relation to the revised TRP.  It is important that the work of the SPA IWG starts as early as possible next year. </w:t>
            </w:r>
          </w:p>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WCFPC15 agreed on an interim TRP for South Pacific albacore at 56% of spawning stock biomass in the absence of fishing, with the objective of achieving 8% increase in CPUE for  the southern longline fishery as compared to 2013 levels. The TRP shall be reviewed every 3 years consistent with the South pacific Albacore assessment schedule.</w:t>
            </w:r>
          </w:p>
          <w:p w:rsidR="0072721E" w:rsidRDefault="0072721E">
            <w:pPr>
              <w:widowControl w:val="0"/>
              <w:spacing w:after="0"/>
              <w:ind w:left="0"/>
            </w:pPr>
          </w:p>
          <w:p w:rsidR="0072721E" w:rsidRDefault="007F04EE">
            <w:pPr>
              <w:widowControl w:val="0"/>
              <w:spacing w:after="0"/>
              <w:ind w:left="0"/>
            </w:pPr>
            <w:r>
              <w:t xml:space="preserve">WCPFC16 agreed to reinvigorate the South Pacific Albacore Roadmap Working Group with Fiji as the Chair. to develop recommendations for the Commission on: </w:t>
            </w:r>
          </w:p>
          <w:p w:rsidR="0072721E" w:rsidRDefault="007F04EE">
            <w:pPr>
              <w:widowControl w:val="0"/>
              <w:spacing w:after="0"/>
              <w:ind w:left="720"/>
            </w:pPr>
            <w:r>
              <w:t xml:space="preserve">a)  the pathway to achieving the interim TRP for SPA agreed in WCPFC15; </w:t>
            </w:r>
          </w:p>
          <w:p w:rsidR="0072721E" w:rsidRDefault="007F04EE">
            <w:pPr>
              <w:widowControl w:val="0"/>
              <w:spacing w:after="0"/>
              <w:ind w:left="720"/>
            </w:pPr>
            <w:r>
              <w:t xml:space="preserve">b) setting of limits and allocations for SPA on the High Seas; and </w:t>
            </w:r>
          </w:p>
          <w:p w:rsidR="0072721E" w:rsidRDefault="007F04EE">
            <w:pPr>
              <w:widowControl w:val="0"/>
              <w:spacing w:after="0"/>
              <w:ind w:left="720"/>
            </w:pPr>
            <w:r>
              <w:t>c) development of a comprehensive CMM to implement these management approaches.</w:t>
            </w:r>
          </w:p>
          <w:p w:rsidR="0072721E" w:rsidRDefault="0072721E">
            <w:pPr>
              <w:widowControl w:val="0"/>
              <w:spacing w:after="0"/>
              <w:ind w:left="0"/>
            </w:pPr>
          </w:p>
          <w:p w:rsidR="0072721E" w:rsidRDefault="007F04EE">
            <w:pPr>
              <w:widowControl w:val="0"/>
              <w:spacing w:after="0"/>
              <w:ind w:left="0"/>
            </w:pPr>
            <w:r>
              <w:t xml:space="preserve">At the SC17, the stock assessment for the South Pacific albacore was agreed. The stock assessment encompassed the whole South Pacific Ocean (south of equator) spanning the Convention areas of WCPFC and IATTC. </w:t>
            </w:r>
          </w:p>
          <w:p w:rsidR="0072721E" w:rsidRDefault="0072721E">
            <w:pPr>
              <w:widowControl w:val="0"/>
              <w:spacing w:after="0"/>
              <w:ind w:left="0"/>
            </w:pPr>
          </w:p>
          <w:p w:rsidR="0072721E" w:rsidRDefault="007F04EE">
            <w:pPr>
              <w:widowControl w:val="0"/>
              <w:spacing w:after="0"/>
              <w:ind w:left="0"/>
            </w:pPr>
            <w:r>
              <w:t>However the results of the new assessment indicate that the current TRP would no longer result in achieving the objective set at  WCPFC15 and that the TRP had to be recalibrated based on the new assessment. The SSP was requested to:</w:t>
            </w:r>
          </w:p>
          <w:p w:rsidR="0072721E" w:rsidRDefault="007F04EE">
            <w:pPr>
              <w:widowControl w:val="0"/>
              <w:numPr>
                <w:ilvl w:val="1"/>
                <w:numId w:val="25"/>
              </w:numPr>
              <w:spacing w:after="0"/>
            </w:pPr>
            <w:r>
              <w:t>Recalibrate the WCPFC TRP that would on average achieve the agreed goal of an 8% increase in the vulnerable biomass (CPUE proxy) for the southern longline fishery as compared to 2013 levels.</w:t>
            </w:r>
          </w:p>
          <w:p w:rsidR="0072721E" w:rsidRDefault="007F04EE">
            <w:pPr>
              <w:widowControl w:val="0"/>
              <w:numPr>
                <w:ilvl w:val="1"/>
                <w:numId w:val="25"/>
              </w:numPr>
              <w:spacing w:after="0"/>
            </w:pPr>
            <w:r>
              <w:t>Undertake projections to estimate the constant catch levels that would achieve that recalibrated TRP on average over the long term.</w:t>
            </w:r>
          </w:p>
          <w:p w:rsidR="0072721E" w:rsidRDefault="0072721E">
            <w:pPr>
              <w:spacing w:after="0" w:line="276" w:lineRule="auto"/>
              <w:ind w:left="0"/>
            </w:pPr>
          </w:p>
          <w:p w:rsidR="0072721E" w:rsidRDefault="007F04EE">
            <w:pPr>
              <w:spacing w:after="0" w:line="276" w:lineRule="auto"/>
              <w:ind w:left="0"/>
            </w:pPr>
            <w:r>
              <w:t>The recalibrated iTRP indicates that higher cuts across this fishery are now required in order to achieve the CPUE objectives underlining the current iTRP.</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spacing w:after="0" w:line="276" w:lineRule="auto"/>
              <w:ind w:left="0"/>
            </w:pPr>
            <w:r>
              <w:t xml:space="preserve">The recalibrated Southern WCPFC-CA albacore TRP depletion level is </w:t>
            </w:r>
            <w:r>
              <w:rPr>
                <w:b/>
              </w:rPr>
              <w:t>68% SB</w:t>
            </w:r>
            <w:r>
              <w:rPr>
                <w:b/>
                <w:vertAlign w:val="subscript"/>
              </w:rPr>
              <w:t>F=0</w:t>
            </w:r>
            <w:r>
              <w:rPr>
                <w:b/>
              </w:rPr>
              <w:t xml:space="preserve">. </w:t>
            </w:r>
          </w:p>
          <w:p w:rsidR="0072721E" w:rsidRDefault="0072721E">
            <w:pPr>
              <w:spacing w:after="0" w:line="276" w:lineRule="auto"/>
              <w:ind w:left="0"/>
            </w:pPr>
          </w:p>
          <w:p w:rsidR="0072721E" w:rsidRDefault="007F04EE">
            <w:pPr>
              <w:spacing w:after="0" w:line="276" w:lineRule="auto"/>
              <w:ind w:left="0"/>
            </w:pPr>
            <w:r>
              <w:t>Approximate catch levels in longline and troll fisheries, within the WCPFC-CA specifically, that achieved the TRP varied according to the catch scenario (Table 1):</w:t>
            </w:r>
          </w:p>
          <w:p w:rsidR="0072721E" w:rsidRDefault="007F04EE">
            <w:pPr>
              <w:numPr>
                <w:ilvl w:val="0"/>
                <w:numId w:val="32"/>
              </w:numPr>
              <w:spacing w:after="0" w:line="276" w:lineRule="auto"/>
            </w:pPr>
            <w:r>
              <w:t>Under South Pacific-wide management (ie. measures taken in both RFMOs), total (longline + troll) catch levels equated to 49,200 mt. WCFPC-CA catch was 40,500mt, with 8,700mt in the remaining EPO assuming relative regional catch levels between regions remained at 2017-2019 levels.</w:t>
            </w:r>
          </w:p>
          <w:p w:rsidR="0072721E" w:rsidRDefault="007F04EE">
            <w:pPr>
              <w:numPr>
                <w:ilvl w:val="0"/>
                <w:numId w:val="32"/>
              </w:numPr>
              <w:spacing w:after="0" w:line="276" w:lineRule="auto"/>
            </w:pPr>
            <w:r>
              <w:t>With management in the WCPFC-CA only (EPO catch assumed to remain at 2017-2019 average levels) total (longline + troll) total catches were just over 51,700mt. 36,200mt of this was in the WCFPC-CA and 15,500mt in the remaining EPO. The lower WCFPC-CA catch level reflects additional management action required to achieve the TRP if management across the whole South Pacific is not feasible.</w:t>
            </w:r>
          </w:p>
          <w:p w:rsidR="0072721E" w:rsidRDefault="0072721E">
            <w:pPr>
              <w:spacing w:after="0" w:line="276" w:lineRule="auto"/>
              <w:ind w:left="0"/>
              <w:rPr>
                <w:i/>
              </w:rPr>
            </w:pPr>
          </w:p>
          <w:p w:rsidR="0072721E" w:rsidRDefault="007F04EE">
            <w:pPr>
              <w:spacing w:after="0" w:line="276" w:lineRule="auto"/>
              <w:ind w:left="0"/>
              <w:rPr>
                <w:i/>
              </w:rPr>
            </w:pPr>
            <w:r>
              <w:rPr>
                <w:i/>
              </w:rPr>
              <w:t>Table 1: Catch level scalars and catches in metric tones for longline and troll applied across the SP and within the WCFPC-CA only on average to achieve a WCFPC-CA median longline vulnerable biomass 8% higher than that in 2013.</w:t>
            </w:r>
          </w:p>
          <w:tbl>
            <w:tblPr>
              <w:tblStyle w:val="af2"/>
              <w:tblW w:w="77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95"/>
              <w:gridCol w:w="1294"/>
              <w:gridCol w:w="1294"/>
              <w:gridCol w:w="1294"/>
              <w:gridCol w:w="1294"/>
              <w:gridCol w:w="1294"/>
            </w:tblGrid>
            <w:tr w:rsidR="0072721E">
              <w:tc>
                <w:tcPr>
                  <w:tcW w:w="1294"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Region where catch is adjusted</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Catch Scalar (from 2017-19 average)</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rPr>
                      <w:b/>
                      <w:vertAlign w:val="subscript"/>
                    </w:rPr>
                  </w:pPr>
                  <w:r>
                    <w:rPr>
                      <w:b/>
                    </w:rPr>
                    <w:t>SB</w:t>
                  </w:r>
                  <w:r>
                    <w:rPr>
                      <w:b/>
                      <w:vertAlign w:val="subscript"/>
                    </w:rPr>
                    <w:t>2049</w:t>
                  </w:r>
                  <w:r>
                    <w:rPr>
                      <w:b/>
                    </w:rPr>
                    <w:t>/SB</w:t>
                  </w:r>
                  <w:r>
                    <w:rPr>
                      <w:b/>
                      <w:vertAlign w:val="subscript"/>
                    </w:rPr>
                    <w:t>F=0</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Risk (SB</w:t>
                  </w:r>
                  <w:r>
                    <w:rPr>
                      <w:b/>
                      <w:vertAlign w:val="subscript"/>
                    </w:rPr>
                    <w:t>2049</w:t>
                  </w:r>
                  <w:r>
                    <w:rPr>
                      <w:b/>
                    </w:rPr>
                    <w:t>/SB</w:t>
                  </w:r>
                  <w:r>
                    <w:rPr>
                      <w:b/>
                      <w:vertAlign w:val="subscript"/>
                    </w:rPr>
                    <w:t>F=0&lt; LRP</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Resulting Catch WCFPC -CA (mt)</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Resulting Catch EPO (excl overlap) (mt)</w:t>
                  </w:r>
                </w:p>
              </w:tc>
            </w:tr>
            <w:tr w:rsidR="0072721E">
              <w:tc>
                <w:tcPr>
                  <w:tcW w:w="1294" w:type="dxa"/>
                  <w:shd w:val="clear" w:color="auto" w:fill="auto"/>
                  <w:tcMar>
                    <w:top w:w="100" w:type="dxa"/>
                    <w:left w:w="100" w:type="dxa"/>
                    <w:bottom w:w="100" w:type="dxa"/>
                    <w:right w:w="100" w:type="dxa"/>
                  </w:tcMar>
                </w:tcPr>
                <w:p w:rsidR="0072721E" w:rsidRDefault="007F04EE">
                  <w:pPr>
                    <w:widowControl w:val="0"/>
                    <w:spacing w:after="0"/>
                    <w:ind w:left="0"/>
                  </w:pPr>
                  <w:r>
                    <w:t>South Pacific Wide</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0.56</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0.68</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2%</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40,500</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8,700</w:t>
                  </w:r>
                </w:p>
              </w:tc>
            </w:tr>
            <w:tr w:rsidR="0072721E">
              <w:tc>
                <w:tcPr>
                  <w:tcW w:w="1294" w:type="dxa"/>
                  <w:shd w:val="clear" w:color="auto" w:fill="auto"/>
                  <w:tcMar>
                    <w:top w:w="100" w:type="dxa"/>
                    <w:left w:w="100" w:type="dxa"/>
                    <w:bottom w:w="100" w:type="dxa"/>
                    <w:right w:w="100" w:type="dxa"/>
                  </w:tcMar>
                </w:tcPr>
                <w:p w:rsidR="0072721E" w:rsidRDefault="007F04EE">
                  <w:pPr>
                    <w:widowControl w:val="0"/>
                    <w:spacing w:after="0"/>
                    <w:ind w:left="0"/>
                  </w:pPr>
                  <w:r>
                    <w:t>WCPFC-CA</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0.50</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0.67</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2%</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36,200</w:t>
                  </w:r>
                </w:p>
              </w:tc>
              <w:tc>
                <w:tcPr>
                  <w:tcW w:w="1294" w:type="dxa"/>
                  <w:shd w:val="clear" w:color="auto" w:fill="auto"/>
                  <w:tcMar>
                    <w:top w:w="100" w:type="dxa"/>
                    <w:left w:w="100" w:type="dxa"/>
                    <w:bottom w:w="100" w:type="dxa"/>
                    <w:right w:w="100" w:type="dxa"/>
                  </w:tcMar>
                </w:tcPr>
                <w:p w:rsidR="0072721E" w:rsidRDefault="007F04EE">
                  <w:pPr>
                    <w:widowControl w:val="0"/>
                    <w:spacing w:after="0"/>
                    <w:ind w:left="0"/>
                  </w:pPr>
                  <w:r>
                    <w:t>15,500</w:t>
                  </w:r>
                </w:p>
              </w:tc>
            </w:tr>
          </w:tbl>
          <w:p w:rsidR="0072721E" w:rsidRDefault="007F04EE">
            <w:pPr>
              <w:spacing w:after="0" w:line="276" w:lineRule="auto"/>
              <w:ind w:left="0"/>
              <w:rPr>
                <w:i/>
                <w:sz w:val="20"/>
                <w:szCs w:val="20"/>
              </w:rPr>
            </w:pPr>
            <w:r>
              <w:rPr>
                <w:i/>
                <w:sz w:val="20"/>
                <w:szCs w:val="20"/>
              </w:rPr>
              <w:t xml:space="preserve"> (Figures extracted from Tables 1 &amp;2 of </w:t>
            </w:r>
            <w:hyperlink r:id="rId75">
              <w:r>
                <w:rPr>
                  <w:color w:val="1155CC"/>
                  <w:u w:val="single"/>
                </w:rPr>
                <w:t>WCFPC 18-2021-17:</w:t>
              </w:r>
            </w:hyperlink>
            <w:r>
              <w:rPr>
                <w:i/>
                <w:sz w:val="20"/>
                <w:szCs w:val="20"/>
              </w:rPr>
              <w:t>)</w:t>
            </w:r>
          </w:p>
          <w:p w:rsidR="0072721E" w:rsidRDefault="0072721E">
            <w:pPr>
              <w:spacing w:after="0" w:line="276" w:lineRule="auto"/>
              <w:ind w:left="0"/>
            </w:pPr>
          </w:p>
          <w:p w:rsidR="0072721E" w:rsidRDefault="007F04EE">
            <w:pPr>
              <w:spacing w:after="0" w:line="276" w:lineRule="auto"/>
              <w:ind w:left="0"/>
            </w:pPr>
            <w:r>
              <w:t xml:space="preserve">Recent FFA water catches average at around 27,600mt in the last 4 years, and the total SPA catches at around 64,000mt (Table 2), which are significantly higher than the estimated resulting catch levels required to achieve the 68%  TRP. </w:t>
            </w:r>
          </w:p>
          <w:p w:rsidR="0072721E" w:rsidRDefault="0072721E">
            <w:pPr>
              <w:spacing w:after="0" w:line="276" w:lineRule="auto"/>
              <w:ind w:left="0"/>
            </w:pPr>
          </w:p>
          <w:p w:rsidR="0072721E" w:rsidRDefault="007F04EE">
            <w:pPr>
              <w:spacing w:after="0" w:line="276" w:lineRule="auto"/>
              <w:ind w:left="0"/>
              <w:rPr>
                <w:b/>
                <w:i/>
              </w:rPr>
            </w:pPr>
            <w:r>
              <w:rPr>
                <w:b/>
                <w:i/>
              </w:rPr>
              <w:t xml:space="preserve">Table 2: Recent catches of South Pacific Albacore in the FFA EEZs other EEZs and the High Seas. </w:t>
            </w:r>
          </w:p>
          <w:tbl>
            <w:tblPr>
              <w:tblStyle w:val="af3"/>
              <w:tblW w:w="5430" w:type="dxa"/>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20"/>
              <w:gridCol w:w="1155"/>
              <w:gridCol w:w="885"/>
              <w:gridCol w:w="1005"/>
              <w:gridCol w:w="1065"/>
            </w:tblGrid>
            <w:tr w:rsidR="0072721E">
              <w:tc>
                <w:tcPr>
                  <w:tcW w:w="1320"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Regions</w:t>
                  </w:r>
                </w:p>
              </w:tc>
              <w:tc>
                <w:tcPr>
                  <w:tcW w:w="115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2017</w:t>
                  </w:r>
                </w:p>
              </w:tc>
              <w:tc>
                <w:tcPr>
                  <w:tcW w:w="88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2018</w:t>
                  </w:r>
                </w:p>
              </w:tc>
              <w:tc>
                <w:tcPr>
                  <w:tcW w:w="100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2019</w:t>
                  </w:r>
                </w:p>
              </w:tc>
              <w:tc>
                <w:tcPr>
                  <w:tcW w:w="106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2020</w:t>
                  </w:r>
                </w:p>
              </w:tc>
            </w:tr>
            <w:tr w:rsidR="0072721E">
              <w:tc>
                <w:tcPr>
                  <w:tcW w:w="1320" w:type="dxa"/>
                  <w:shd w:val="clear" w:color="auto" w:fill="auto"/>
                  <w:tcMar>
                    <w:top w:w="100" w:type="dxa"/>
                    <w:left w:w="100" w:type="dxa"/>
                    <w:bottom w:w="100" w:type="dxa"/>
                    <w:right w:w="100" w:type="dxa"/>
                  </w:tcMar>
                </w:tcPr>
                <w:p w:rsidR="0072721E" w:rsidRDefault="007F04EE">
                  <w:pPr>
                    <w:widowControl w:val="0"/>
                    <w:spacing w:after="0"/>
                    <w:ind w:left="0"/>
                  </w:pPr>
                  <w:r>
                    <w:t>FFA EEZs</w:t>
                  </w:r>
                </w:p>
              </w:tc>
              <w:tc>
                <w:tcPr>
                  <w:tcW w:w="1155" w:type="dxa"/>
                  <w:shd w:val="clear" w:color="auto" w:fill="auto"/>
                  <w:tcMar>
                    <w:top w:w="100" w:type="dxa"/>
                    <w:left w:w="100" w:type="dxa"/>
                    <w:bottom w:w="100" w:type="dxa"/>
                    <w:right w:w="100" w:type="dxa"/>
                  </w:tcMar>
                </w:tcPr>
                <w:p w:rsidR="0072721E" w:rsidRDefault="007F04EE">
                  <w:pPr>
                    <w:widowControl w:val="0"/>
                    <w:spacing w:after="0"/>
                    <w:ind w:left="0"/>
                  </w:pPr>
                  <w:r>
                    <w:t>31,712</w:t>
                  </w:r>
                </w:p>
              </w:tc>
              <w:tc>
                <w:tcPr>
                  <w:tcW w:w="885" w:type="dxa"/>
                  <w:shd w:val="clear" w:color="auto" w:fill="auto"/>
                  <w:tcMar>
                    <w:top w:w="100" w:type="dxa"/>
                    <w:left w:w="100" w:type="dxa"/>
                    <w:bottom w:w="100" w:type="dxa"/>
                    <w:right w:w="100" w:type="dxa"/>
                  </w:tcMar>
                </w:tcPr>
                <w:p w:rsidR="0072721E" w:rsidRDefault="007F04EE">
                  <w:pPr>
                    <w:widowControl w:val="0"/>
                    <w:spacing w:after="0"/>
                    <w:ind w:left="0"/>
                  </w:pPr>
                  <w:r>
                    <w:t>27,255</w:t>
                  </w:r>
                </w:p>
              </w:tc>
              <w:tc>
                <w:tcPr>
                  <w:tcW w:w="1005" w:type="dxa"/>
                  <w:shd w:val="clear" w:color="auto" w:fill="auto"/>
                  <w:tcMar>
                    <w:top w:w="100" w:type="dxa"/>
                    <w:left w:w="100" w:type="dxa"/>
                    <w:bottom w:w="100" w:type="dxa"/>
                    <w:right w:w="100" w:type="dxa"/>
                  </w:tcMar>
                </w:tcPr>
                <w:p w:rsidR="0072721E" w:rsidRDefault="007F04EE">
                  <w:pPr>
                    <w:widowControl w:val="0"/>
                    <w:spacing w:after="0"/>
                    <w:ind w:left="0"/>
                  </w:pPr>
                  <w:r>
                    <w:t>28,118</w:t>
                  </w:r>
                </w:p>
              </w:tc>
              <w:tc>
                <w:tcPr>
                  <w:tcW w:w="1065" w:type="dxa"/>
                  <w:shd w:val="clear" w:color="auto" w:fill="auto"/>
                  <w:tcMar>
                    <w:top w:w="100" w:type="dxa"/>
                    <w:left w:w="100" w:type="dxa"/>
                    <w:bottom w:w="100" w:type="dxa"/>
                    <w:right w:w="100" w:type="dxa"/>
                  </w:tcMar>
                </w:tcPr>
                <w:p w:rsidR="0072721E" w:rsidRDefault="007F04EE">
                  <w:pPr>
                    <w:widowControl w:val="0"/>
                    <w:spacing w:after="0"/>
                    <w:ind w:left="0"/>
                  </w:pPr>
                  <w:r>
                    <w:t>23,584</w:t>
                  </w:r>
                </w:p>
              </w:tc>
            </w:tr>
            <w:tr w:rsidR="0072721E">
              <w:tc>
                <w:tcPr>
                  <w:tcW w:w="1320" w:type="dxa"/>
                  <w:shd w:val="clear" w:color="auto" w:fill="auto"/>
                  <w:tcMar>
                    <w:top w:w="100" w:type="dxa"/>
                    <w:left w:w="100" w:type="dxa"/>
                    <w:bottom w:w="100" w:type="dxa"/>
                    <w:right w:w="100" w:type="dxa"/>
                  </w:tcMar>
                </w:tcPr>
                <w:p w:rsidR="0072721E" w:rsidRDefault="007F04EE">
                  <w:pPr>
                    <w:widowControl w:val="0"/>
                    <w:spacing w:after="0"/>
                    <w:ind w:left="0"/>
                  </w:pPr>
                  <w:r>
                    <w:t>Other EEZs</w:t>
                  </w:r>
                </w:p>
              </w:tc>
              <w:tc>
                <w:tcPr>
                  <w:tcW w:w="1155" w:type="dxa"/>
                  <w:shd w:val="clear" w:color="auto" w:fill="auto"/>
                  <w:tcMar>
                    <w:top w:w="100" w:type="dxa"/>
                    <w:left w:w="100" w:type="dxa"/>
                    <w:bottom w:w="100" w:type="dxa"/>
                    <w:right w:w="100" w:type="dxa"/>
                  </w:tcMar>
                </w:tcPr>
                <w:p w:rsidR="0072721E" w:rsidRDefault="007F04EE">
                  <w:pPr>
                    <w:widowControl w:val="0"/>
                    <w:spacing w:after="0"/>
                    <w:ind w:left="0"/>
                  </w:pPr>
                  <w:r>
                    <w:t>5,225</w:t>
                  </w:r>
                </w:p>
              </w:tc>
              <w:tc>
                <w:tcPr>
                  <w:tcW w:w="885" w:type="dxa"/>
                  <w:shd w:val="clear" w:color="auto" w:fill="auto"/>
                  <w:tcMar>
                    <w:top w:w="100" w:type="dxa"/>
                    <w:left w:w="100" w:type="dxa"/>
                    <w:bottom w:w="100" w:type="dxa"/>
                    <w:right w:w="100" w:type="dxa"/>
                  </w:tcMar>
                </w:tcPr>
                <w:p w:rsidR="0072721E" w:rsidRDefault="007F04EE">
                  <w:pPr>
                    <w:widowControl w:val="0"/>
                    <w:spacing w:after="0"/>
                    <w:ind w:left="0"/>
                  </w:pPr>
                  <w:r>
                    <w:t>6,243</w:t>
                  </w:r>
                </w:p>
              </w:tc>
              <w:tc>
                <w:tcPr>
                  <w:tcW w:w="1005" w:type="dxa"/>
                  <w:shd w:val="clear" w:color="auto" w:fill="auto"/>
                  <w:tcMar>
                    <w:top w:w="100" w:type="dxa"/>
                    <w:left w:w="100" w:type="dxa"/>
                    <w:bottom w:w="100" w:type="dxa"/>
                    <w:right w:w="100" w:type="dxa"/>
                  </w:tcMar>
                </w:tcPr>
                <w:p w:rsidR="0072721E" w:rsidRDefault="007F04EE">
                  <w:pPr>
                    <w:widowControl w:val="0"/>
                    <w:spacing w:after="0"/>
                    <w:ind w:left="0"/>
                  </w:pPr>
                  <w:r>
                    <w:t>6,513</w:t>
                  </w:r>
                </w:p>
              </w:tc>
              <w:tc>
                <w:tcPr>
                  <w:tcW w:w="1065" w:type="dxa"/>
                  <w:shd w:val="clear" w:color="auto" w:fill="auto"/>
                  <w:tcMar>
                    <w:top w:w="100" w:type="dxa"/>
                    <w:left w:w="100" w:type="dxa"/>
                    <w:bottom w:w="100" w:type="dxa"/>
                    <w:right w:w="100" w:type="dxa"/>
                  </w:tcMar>
                </w:tcPr>
                <w:p w:rsidR="0072721E" w:rsidRDefault="007F04EE">
                  <w:pPr>
                    <w:widowControl w:val="0"/>
                    <w:spacing w:after="0"/>
                    <w:ind w:left="0"/>
                  </w:pPr>
                  <w:r>
                    <w:t>5,221</w:t>
                  </w:r>
                </w:p>
              </w:tc>
            </w:tr>
            <w:tr w:rsidR="0072721E">
              <w:tc>
                <w:tcPr>
                  <w:tcW w:w="1320" w:type="dxa"/>
                  <w:shd w:val="clear" w:color="auto" w:fill="auto"/>
                  <w:tcMar>
                    <w:top w:w="100" w:type="dxa"/>
                    <w:left w:w="100" w:type="dxa"/>
                    <w:bottom w:w="100" w:type="dxa"/>
                    <w:right w:w="100" w:type="dxa"/>
                  </w:tcMar>
                </w:tcPr>
                <w:p w:rsidR="0072721E" w:rsidRDefault="007F04EE">
                  <w:pPr>
                    <w:widowControl w:val="0"/>
                    <w:spacing w:after="0"/>
                    <w:ind w:left="0"/>
                  </w:pPr>
                  <w:r>
                    <w:t>High Seas</w:t>
                  </w:r>
                </w:p>
              </w:tc>
              <w:tc>
                <w:tcPr>
                  <w:tcW w:w="1155" w:type="dxa"/>
                  <w:shd w:val="clear" w:color="auto" w:fill="auto"/>
                  <w:tcMar>
                    <w:top w:w="100" w:type="dxa"/>
                    <w:left w:w="100" w:type="dxa"/>
                    <w:bottom w:w="100" w:type="dxa"/>
                    <w:right w:w="100" w:type="dxa"/>
                  </w:tcMar>
                </w:tcPr>
                <w:p w:rsidR="0072721E" w:rsidRDefault="007F04EE">
                  <w:pPr>
                    <w:widowControl w:val="0"/>
                    <w:spacing w:after="0"/>
                    <w:ind w:left="0"/>
                  </w:pPr>
                  <w:r>
                    <w:t>35,799</w:t>
                  </w:r>
                </w:p>
              </w:tc>
              <w:tc>
                <w:tcPr>
                  <w:tcW w:w="885" w:type="dxa"/>
                  <w:shd w:val="clear" w:color="auto" w:fill="auto"/>
                  <w:tcMar>
                    <w:top w:w="100" w:type="dxa"/>
                    <w:left w:w="100" w:type="dxa"/>
                    <w:bottom w:w="100" w:type="dxa"/>
                    <w:right w:w="100" w:type="dxa"/>
                  </w:tcMar>
                </w:tcPr>
                <w:p w:rsidR="0072721E" w:rsidRDefault="007F04EE">
                  <w:pPr>
                    <w:widowControl w:val="0"/>
                    <w:spacing w:after="0"/>
                    <w:ind w:left="0"/>
                  </w:pPr>
                  <w:r>
                    <w:t>27,400</w:t>
                  </w:r>
                </w:p>
              </w:tc>
              <w:tc>
                <w:tcPr>
                  <w:tcW w:w="1005" w:type="dxa"/>
                  <w:shd w:val="clear" w:color="auto" w:fill="auto"/>
                  <w:tcMar>
                    <w:top w:w="100" w:type="dxa"/>
                    <w:left w:w="100" w:type="dxa"/>
                    <w:bottom w:w="100" w:type="dxa"/>
                    <w:right w:w="100" w:type="dxa"/>
                  </w:tcMar>
                </w:tcPr>
                <w:p w:rsidR="0072721E" w:rsidRDefault="007F04EE">
                  <w:pPr>
                    <w:widowControl w:val="0"/>
                    <w:spacing w:after="0"/>
                    <w:ind w:left="0"/>
                  </w:pPr>
                  <w:r>
                    <w:t>31,355</w:t>
                  </w:r>
                </w:p>
              </w:tc>
              <w:tc>
                <w:tcPr>
                  <w:tcW w:w="1065" w:type="dxa"/>
                  <w:shd w:val="clear" w:color="auto" w:fill="auto"/>
                  <w:tcMar>
                    <w:top w:w="100" w:type="dxa"/>
                    <w:left w:w="100" w:type="dxa"/>
                    <w:bottom w:w="100" w:type="dxa"/>
                    <w:right w:w="100" w:type="dxa"/>
                  </w:tcMar>
                </w:tcPr>
                <w:p w:rsidR="0072721E" w:rsidRDefault="007F04EE">
                  <w:pPr>
                    <w:widowControl w:val="0"/>
                    <w:spacing w:after="0"/>
                    <w:ind w:left="0"/>
                  </w:pPr>
                  <w:r>
                    <w:t>28,199</w:t>
                  </w:r>
                </w:p>
              </w:tc>
            </w:tr>
            <w:tr w:rsidR="0072721E">
              <w:tc>
                <w:tcPr>
                  <w:tcW w:w="1320"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TOTAL</w:t>
                  </w:r>
                </w:p>
              </w:tc>
              <w:tc>
                <w:tcPr>
                  <w:tcW w:w="115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72,736</w:t>
                  </w:r>
                </w:p>
              </w:tc>
              <w:tc>
                <w:tcPr>
                  <w:tcW w:w="88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60,898</w:t>
                  </w:r>
                </w:p>
              </w:tc>
              <w:tc>
                <w:tcPr>
                  <w:tcW w:w="100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65,983</w:t>
                  </w:r>
                </w:p>
              </w:tc>
              <w:tc>
                <w:tcPr>
                  <w:tcW w:w="1065"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57,004</w:t>
                  </w:r>
                </w:p>
              </w:tc>
            </w:tr>
          </w:tbl>
          <w:p w:rsidR="0072721E" w:rsidRDefault="007F04EE">
            <w:pPr>
              <w:spacing w:after="0" w:line="276" w:lineRule="auto"/>
              <w:ind w:left="0"/>
              <w:rPr>
                <w:i/>
                <w:sz w:val="20"/>
                <w:szCs w:val="20"/>
              </w:rPr>
            </w:pPr>
            <w:r>
              <w:rPr>
                <w:i/>
                <w:sz w:val="20"/>
                <w:szCs w:val="20"/>
              </w:rPr>
              <w:t xml:space="preserve">(Figures extracted from Tables 1 &amp; 2 of </w:t>
            </w:r>
            <w:hyperlink r:id="rId76">
              <w:r>
                <w:rPr>
                  <w:i/>
                  <w:color w:val="1155CC"/>
                  <w:sz w:val="20"/>
                  <w:szCs w:val="20"/>
                  <w:u w:val="single"/>
                </w:rPr>
                <w:t>WCPFC-SC17-2021/SA IP-04</w:t>
              </w:r>
            </w:hyperlink>
            <w:r>
              <w:rPr>
                <w:i/>
                <w:sz w:val="20"/>
                <w:szCs w:val="20"/>
              </w:rPr>
              <w:t>)</w:t>
            </w:r>
          </w:p>
          <w:p w:rsidR="0072721E" w:rsidRDefault="0072721E">
            <w:pPr>
              <w:spacing w:after="0" w:line="276" w:lineRule="auto"/>
              <w:ind w:left="0"/>
            </w:pPr>
          </w:p>
          <w:p w:rsidR="0072721E" w:rsidRDefault="007F04EE">
            <w:pPr>
              <w:spacing w:after="0" w:line="276" w:lineRule="auto"/>
              <w:ind w:left="0"/>
            </w:pPr>
            <w:r>
              <w:t xml:space="preserve">Taking higher cuts to SPA catch will pose more economic concerns for already struggling longline fleets, particularly FFA members’ domestic fleets that have felt the brunt of declining catch rates and competing against the heavily subsidised fleets of developed countries. </w:t>
            </w:r>
          </w:p>
          <w:p w:rsidR="0072721E" w:rsidRDefault="0072721E">
            <w:pPr>
              <w:spacing w:after="0" w:line="276" w:lineRule="auto"/>
              <w:ind w:left="0"/>
            </w:pPr>
          </w:p>
          <w:p w:rsidR="0072721E" w:rsidRDefault="007F04EE">
            <w:pPr>
              <w:spacing w:after="0" w:line="276" w:lineRule="auto"/>
              <w:ind w:left="0"/>
            </w:pPr>
            <w:r>
              <w:t>What  is  consistent  between  2021  and  2018  assessments  is  the  interim TRP  will  not  be  achieved  under recent catch levels in the southern WCPFC-CA. It is expected that future TRP-related catch levels will need to be adjusted  in  the  face  of  increased  knowledge  of  the  South  Pacific  albacore  stock.</w:t>
            </w:r>
          </w:p>
          <w:p w:rsidR="0072721E" w:rsidRDefault="0072721E">
            <w:pPr>
              <w:spacing w:after="0" w:line="276" w:lineRule="auto"/>
              <w:ind w:left="0"/>
            </w:pPr>
          </w:p>
          <w:p w:rsidR="0072721E" w:rsidRDefault="007F04EE">
            <w:pPr>
              <w:spacing w:after="0" w:line="276" w:lineRule="auto"/>
              <w:ind w:left="0"/>
            </w:pPr>
            <w:r>
              <w:t>The need to recalibrate the TRP in response to new assessments emphasizes the need for  the adoption of a harvest strategy that can adapt dynamically to, for example, good or poor recruitment events, and be robust to the uncertainties inherent in the stock assessments. Given the delay in implementing an interim recovery plan and the recent progress in the Harvest Strategy work, consideration may be given to progressing the implementation of a comprehensive harvest strategy in a new CMM.</w:t>
            </w:r>
          </w:p>
          <w:p w:rsidR="0072721E" w:rsidRDefault="0072721E">
            <w:pPr>
              <w:widowControl w:val="0"/>
              <w:spacing w:after="0"/>
              <w:ind w:left="0"/>
            </w:pPr>
          </w:p>
          <w:p w:rsidR="0072721E" w:rsidRDefault="007F04EE">
            <w:pPr>
              <w:widowControl w:val="0"/>
              <w:spacing w:after="0"/>
              <w:ind w:left="0"/>
            </w:pPr>
            <w:r>
              <w:t>In the meantime, FFA members have called in DP04 for urgent action at WCFPC18  to prevent any further increase of catch and effort for South Pacific albacore on the high seas south of the equator.  The revised stock assessment and the additional catch reductions required to achieve the TRP provide a strong basis for FFA members to reiterate the call for the freeze in catch and effort on the high seas at WCPFC18 in order to provide breathing space for the required work on a new CMM and also the harvest strategy.</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FFA members to consider highlighting the following points:</w:t>
            </w:r>
          </w:p>
          <w:p w:rsidR="0072721E" w:rsidRDefault="007F04EE">
            <w:pPr>
              <w:widowControl w:val="0"/>
              <w:numPr>
                <w:ilvl w:val="0"/>
                <w:numId w:val="24"/>
              </w:numPr>
              <w:spacing w:after="0"/>
            </w:pPr>
            <w:r>
              <w:t xml:space="preserve">The need to reevaluate our approach to the management of the SPA fishery, including whether to continue to develop a ‘bridging measure’ in the form of an interim recovery plan via preferred trajectory for achieving a TRP, or to switch focus to a CMM that incorporates the Harvest Strategy approach. </w:t>
            </w:r>
          </w:p>
          <w:p w:rsidR="0072721E" w:rsidRDefault="007F04EE">
            <w:pPr>
              <w:widowControl w:val="0"/>
              <w:numPr>
                <w:ilvl w:val="0"/>
                <w:numId w:val="24"/>
              </w:numPr>
              <w:spacing w:after="0"/>
            </w:pPr>
            <w:r>
              <w:t xml:space="preserve">A top priority for early next year is the SPA IWG to develop recommendations for immediate catch cuts across the fishery. </w:t>
            </w:r>
          </w:p>
          <w:p w:rsidR="0072721E" w:rsidRDefault="007F04EE">
            <w:pPr>
              <w:widowControl w:val="0"/>
              <w:numPr>
                <w:ilvl w:val="0"/>
                <w:numId w:val="24"/>
              </w:numPr>
              <w:spacing w:after="0"/>
            </w:pPr>
            <w:r>
              <w:t>In the meantime, members may wish to reiterate the need for an immediate freeze of catch and effort for SPA, south of the equator on the high sea as an outcome from this meeting.</w:t>
            </w:r>
          </w:p>
          <w:p w:rsidR="0072721E" w:rsidRDefault="0072721E">
            <w:pPr>
              <w:widowControl w:val="0"/>
              <w:spacing w:after="0"/>
              <w:ind w:left="0"/>
            </w:pPr>
          </w:p>
        </w:tc>
      </w:tr>
    </w:tbl>
    <w:p w:rsidR="0072721E" w:rsidRDefault="0072721E">
      <w:pPr>
        <w:ind w:left="0"/>
      </w:pPr>
    </w:p>
    <w:p w:rsidR="0072721E" w:rsidRDefault="007F04EE">
      <w:pPr>
        <w:ind w:left="0"/>
      </w:pPr>
      <w:r>
        <w:pict>
          <v:rect id="_x0000_i1036" style="width:0;height:1.5pt" o:hralign="center" o:hrstd="t" o:hr="t" fillcolor="#a0a0a0" stroked="f"/>
        </w:pict>
      </w:r>
    </w:p>
    <w:p w:rsidR="0072721E" w:rsidRDefault="0072721E">
      <w:pPr>
        <w:ind w:left="0"/>
      </w:pPr>
    </w:p>
    <w:tbl>
      <w:tblPr>
        <w:tblStyle w:val="af4"/>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77">
              <w:r>
                <w:rPr>
                  <w:color w:val="0000EE"/>
                  <w:u w:val="single"/>
                </w:rPr>
                <w:t>Joyce Samuelu-Ah Leong</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33" w:name="_7o41kc2mro9d" w:colFirst="0" w:colLast="0"/>
            <w:bookmarkEnd w:id="33"/>
            <w:r>
              <w:rPr>
                <w:i/>
              </w:rPr>
              <w:t xml:space="preserve"> </w:t>
            </w:r>
            <w:r>
              <w:t>7.3.2 Roadmap for effective conservation and  management of SP albacore</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sz w:val="20"/>
                <w:szCs w:val="20"/>
              </w:rPr>
            </w:pPr>
            <w:r>
              <w:t>The Commission will receive the report of the Intersessional Working Group tasked to develop the Roadmap for the effective conservation and management of the South Pacific albacore stock.</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i/>
              </w:rPr>
            </w:pPr>
            <w:hyperlink r:id="rId78">
              <w:r>
                <w:rPr>
                  <w:i/>
                  <w:color w:val="1155CC"/>
                  <w:u w:val="single"/>
                </w:rPr>
                <w:t>WCPFC18-2021-SPALB-Roadmap-IWG</w:t>
              </w:r>
            </w:hyperlink>
            <w:r>
              <w:rPr>
                <w:i/>
              </w:rPr>
              <w:t xml:space="preserve"> - Chairs Summary of the South Pacific Albacore Roadmap Intersessional Working Group Meeting</w:t>
            </w:r>
          </w:p>
          <w:p w:rsidR="0072721E" w:rsidRDefault="007F04EE">
            <w:pPr>
              <w:widowControl w:val="0"/>
              <w:spacing w:after="0"/>
              <w:ind w:left="0"/>
              <w:rPr>
                <w:i/>
              </w:rPr>
            </w:pPr>
            <w:hyperlink r:id="rId79">
              <w:r>
                <w:rPr>
                  <w:i/>
                  <w:color w:val="1155CC"/>
                  <w:u w:val="single"/>
                </w:rPr>
                <w:t>WCFPC 18-2021-18:</w:t>
              </w:r>
            </w:hyperlink>
            <w:r>
              <w:rPr>
                <w:i/>
              </w:rPr>
              <w:t xml:space="preserve"> Reference Document for South Pacific Albacore for the Review of CMM2015-02 and Development of Harvest Strategies under CMM 2014-06</w:t>
            </w:r>
          </w:p>
          <w:p w:rsidR="0072721E" w:rsidRDefault="007F04EE">
            <w:pPr>
              <w:widowControl w:val="0"/>
              <w:spacing w:after="0"/>
              <w:ind w:left="0"/>
              <w:rPr>
                <w:i/>
              </w:rPr>
            </w:pPr>
            <w:hyperlink r:id="rId80">
              <w:r>
                <w:rPr>
                  <w:i/>
                  <w:color w:val="1155CC"/>
                  <w:u w:val="single"/>
                </w:rPr>
                <w:t>WCPFC18-2021- SC17</w:t>
              </w:r>
            </w:hyperlink>
            <w:r>
              <w:rPr>
                <w:i/>
              </w:rPr>
              <w:t>: SC17 Summary Report for Adoption on 11 November 2021</w:t>
            </w:r>
          </w:p>
          <w:p w:rsidR="0072721E" w:rsidRDefault="0072721E">
            <w:pPr>
              <w:widowControl w:val="0"/>
              <w:spacing w:after="0"/>
              <w:ind w:left="0"/>
              <w:rPr>
                <w:i/>
              </w:rPr>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Chair’s Summary (Annex A) on the IWG meeting in June presents the outcomes of discussions and the work of the IWG in considering the management of the SPA fishery through the development and implementation of a revised CMM. Members are recommended to note these and reiterate their support for the work of the IWG to commence earlier in the new year to progress these important issues.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ind w:left="0"/>
            </w:pPr>
            <w:r>
              <w:t>WCPFC16 agreed to reinvigorate the South Pacific Albacore Roadmap Working Group in 2020 under the leadership of Fiji and for it to continue to work intersessionally to develop the Roadmap for Effective Conservation and Management of South Pacific Albacore. The Roadmap contains a) Limits and Allocations, b) TRP and pathway to achieving the TRP and c) Development of a new CMM.</w:t>
            </w:r>
          </w:p>
          <w:p w:rsidR="0072721E" w:rsidRDefault="007F04EE">
            <w:pPr>
              <w:ind w:left="0"/>
            </w:pPr>
            <w:r>
              <w:t>The TOR for the IWG was to consider the management issues including:</w:t>
            </w:r>
          </w:p>
          <w:p w:rsidR="0072721E" w:rsidRDefault="007F04EE">
            <w:pPr>
              <w:numPr>
                <w:ilvl w:val="0"/>
                <w:numId w:val="55"/>
              </w:numPr>
              <w:spacing w:after="0"/>
            </w:pPr>
            <w:r>
              <w:t>Elements necessary for a pathway to achieve the SPA TRP.</w:t>
            </w:r>
          </w:p>
          <w:p w:rsidR="0072721E" w:rsidRDefault="007F04EE">
            <w:pPr>
              <w:numPr>
                <w:ilvl w:val="0"/>
                <w:numId w:val="55"/>
              </w:numPr>
              <w:spacing w:after="0"/>
            </w:pPr>
            <w:r>
              <w:t>Elements necessary for establishing a limit and an allocation process</w:t>
            </w:r>
          </w:p>
          <w:p w:rsidR="0072721E" w:rsidRDefault="007F04EE">
            <w:pPr>
              <w:numPr>
                <w:ilvl w:val="0"/>
                <w:numId w:val="55"/>
              </w:numPr>
              <w:spacing w:after="0"/>
            </w:pPr>
            <w:r>
              <w:t>Monitoring and reporting priorities, and addressing gaps for all fisheries taking SPA in the WCPO.</w:t>
            </w:r>
          </w:p>
          <w:p w:rsidR="0072721E" w:rsidRDefault="007F04EE">
            <w:pPr>
              <w:numPr>
                <w:ilvl w:val="0"/>
                <w:numId w:val="55"/>
              </w:numPr>
            </w:pPr>
            <w:r>
              <w:t>Elements for developing a new conservation and management measure.</w:t>
            </w:r>
          </w:p>
          <w:p w:rsidR="0072721E" w:rsidRDefault="007F04EE">
            <w:pPr>
              <w:widowControl w:val="0"/>
              <w:spacing w:after="0"/>
              <w:ind w:left="0"/>
            </w:pPr>
            <w:r>
              <w:t>The Commission further agreed that the South Pacific Albacore Roadmap Working Group would meet in the margins of SC16 and TCC16 and that during the intersessional period it would develop its workplan and terms of reference.</w:t>
            </w:r>
          </w:p>
          <w:p w:rsidR="0072721E" w:rsidRDefault="0072721E">
            <w:pPr>
              <w:widowControl w:val="0"/>
              <w:spacing w:after="0"/>
              <w:ind w:left="0"/>
            </w:pPr>
          </w:p>
          <w:p w:rsidR="0072721E" w:rsidRDefault="007F04EE">
            <w:pPr>
              <w:widowControl w:val="0"/>
              <w:spacing w:after="0"/>
              <w:ind w:left="0"/>
            </w:pPr>
            <w:r>
              <w:t>The SPA Roadmap IWG met on the 25th June 2021, to mainly progress the activities identified in it’s work plan.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In the Target Reference Point agenda item, FFA members urged the IWG to consider the minimum required cuts to achieve the TRP in the agreed timeframe across the fishery as soon as practical. The urgency is due to the 3 years of inaction since the agreement in 2018. There was no firm decision on a recommendation  from the IWG.</w:t>
            </w:r>
          </w:p>
          <w:p w:rsidR="0072721E" w:rsidRDefault="0072721E">
            <w:pPr>
              <w:widowControl w:val="0"/>
              <w:spacing w:after="0"/>
              <w:ind w:left="0"/>
            </w:pPr>
          </w:p>
          <w:p w:rsidR="0072721E" w:rsidRDefault="007F04EE">
            <w:pPr>
              <w:widowControl w:val="0"/>
              <w:spacing w:after="0"/>
              <w:ind w:left="0"/>
            </w:pPr>
            <w:r>
              <w:t>In the Limits and Allocation agenda there was clarification on the catch cut trajectories which considered catches of the combined LL (including the Tropical longline fishery) and Troll fisheries in the WCPO. FFA members advocate the application of ZBM to manage SPA long fishery in FFA members waters and will no longer accept any flag-based limits within the FFA waters. China sought for more information on the ZBM to be able to be involved in any decisions for the Limits and Allocations for the SPA stock. There was no firm decision on the limit’s process or acceptance of the ZBM approach from the IWG on a recommendation to the Commission.</w:t>
            </w:r>
          </w:p>
          <w:p w:rsidR="0072721E" w:rsidRDefault="0072721E">
            <w:pPr>
              <w:widowControl w:val="0"/>
              <w:spacing w:after="0"/>
              <w:ind w:left="0"/>
            </w:pPr>
          </w:p>
          <w:p w:rsidR="0072721E" w:rsidRDefault="007F04EE">
            <w:pPr>
              <w:widowControl w:val="0"/>
              <w:spacing w:after="0"/>
              <w:ind w:left="0"/>
            </w:pPr>
            <w:r>
              <w:t>In the Future Amendments to CMM 2015-02, the FFA members raised key issues that we consider are key components for the development of a revised South Pacific albacore CMM:</w:t>
            </w:r>
          </w:p>
          <w:p w:rsidR="0072721E" w:rsidRDefault="007F04EE">
            <w:pPr>
              <w:widowControl w:val="0"/>
              <w:numPr>
                <w:ilvl w:val="0"/>
                <w:numId w:val="13"/>
              </w:numPr>
              <w:spacing w:after="0"/>
            </w:pPr>
            <w:r>
              <w:t>Area for coverage (South of Equator - both EEZs and HS)</w:t>
            </w:r>
          </w:p>
          <w:p w:rsidR="0072721E" w:rsidRDefault="007F04EE">
            <w:pPr>
              <w:widowControl w:val="0"/>
              <w:numPr>
                <w:ilvl w:val="0"/>
                <w:numId w:val="13"/>
              </w:numPr>
              <w:spacing w:after="0"/>
            </w:pPr>
            <w:r>
              <w:t>Formal recognition of the TRP</w:t>
            </w:r>
          </w:p>
          <w:p w:rsidR="0072721E" w:rsidRDefault="007F04EE">
            <w:pPr>
              <w:widowControl w:val="0"/>
              <w:numPr>
                <w:ilvl w:val="0"/>
                <w:numId w:val="13"/>
              </w:numPr>
              <w:spacing w:after="0"/>
            </w:pPr>
            <w:r>
              <w:t>Outline interim rebuilding plan to achieve TRP within 20 years.</w:t>
            </w:r>
          </w:p>
          <w:p w:rsidR="0072721E" w:rsidRDefault="007F04EE">
            <w:pPr>
              <w:widowControl w:val="0"/>
              <w:numPr>
                <w:ilvl w:val="0"/>
                <w:numId w:val="13"/>
              </w:numPr>
              <w:spacing w:after="0"/>
            </w:pPr>
            <w:r>
              <w:t>Limit efforts/catches on the high seas.</w:t>
            </w:r>
          </w:p>
          <w:p w:rsidR="0072721E" w:rsidRDefault="007F04EE">
            <w:pPr>
              <w:widowControl w:val="0"/>
              <w:numPr>
                <w:ilvl w:val="0"/>
                <w:numId w:val="13"/>
              </w:numPr>
              <w:spacing w:after="0"/>
            </w:pPr>
            <w:r>
              <w:t>Establishes overall annual TACs with separate limits for HS and EEZs.</w:t>
            </w:r>
          </w:p>
          <w:p w:rsidR="0072721E" w:rsidRDefault="007F04EE">
            <w:pPr>
              <w:widowControl w:val="0"/>
              <w:numPr>
                <w:ilvl w:val="0"/>
                <w:numId w:val="13"/>
              </w:numPr>
              <w:spacing w:after="0"/>
            </w:pPr>
            <w:r>
              <w:t>Robust and effective monitoring and reporting systems to support management.</w:t>
            </w:r>
          </w:p>
          <w:p w:rsidR="0072721E" w:rsidRDefault="0072721E">
            <w:pPr>
              <w:widowControl w:val="0"/>
              <w:spacing w:after="0"/>
              <w:ind w:left="0"/>
            </w:pPr>
          </w:p>
          <w:p w:rsidR="0072721E" w:rsidRDefault="007F04EE">
            <w:pPr>
              <w:widowControl w:val="0"/>
              <w:spacing w:after="0"/>
              <w:ind w:left="0"/>
            </w:pPr>
            <w:r>
              <w:t>The general agreement from the IWG discussions include expanding the Convention area to cover the whole of southern longline fishery and stock distribution instead of 20</w:t>
            </w:r>
            <w:r>
              <w:rPr>
                <w:vertAlign w:val="superscript"/>
              </w:rPr>
              <w:t>0</w:t>
            </w:r>
            <w:r>
              <w:t>S and to establish a catch limit, including the overlap area (WCFPC &amp; IATTC) (Annex A)</w:t>
            </w:r>
          </w:p>
          <w:p w:rsidR="0072721E" w:rsidRDefault="0072721E">
            <w:pPr>
              <w:widowControl w:val="0"/>
              <w:spacing w:after="0"/>
              <w:ind w:left="0"/>
            </w:pPr>
          </w:p>
          <w:p w:rsidR="0072721E" w:rsidRDefault="007F04EE">
            <w:pPr>
              <w:widowControl w:val="0"/>
              <w:spacing w:after="0"/>
              <w:ind w:left="0"/>
            </w:pPr>
            <w:r>
              <w:t>Other outcomes at the IWG worth noting include:</w:t>
            </w:r>
          </w:p>
          <w:p w:rsidR="0072721E" w:rsidRDefault="007F04EE">
            <w:pPr>
              <w:widowControl w:val="0"/>
              <w:numPr>
                <w:ilvl w:val="0"/>
                <w:numId w:val="19"/>
              </w:numPr>
              <w:spacing w:after="0"/>
            </w:pPr>
            <w:r>
              <w:t>Strong support for improvement of monitoring of longline fisheries with the boost of EM and ER.</w:t>
            </w:r>
          </w:p>
          <w:p w:rsidR="0072721E" w:rsidRDefault="007F04EE">
            <w:pPr>
              <w:widowControl w:val="0"/>
              <w:numPr>
                <w:ilvl w:val="0"/>
                <w:numId w:val="19"/>
              </w:numPr>
              <w:spacing w:after="0"/>
            </w:pPr>
            <w:r>
              <w:t>Setting of limits to have a limit for the overlap area and transparency from the FFA on the ZBM to consider in the limit/allocation discussions</w:t>
            </w:r>
          </w:p>
          <w:p w:rsidR="0072721E" w:rsidRDefault="0072721E">
            <w:pPr>
              <w:widowControl w:val="0"/>
              <w:spacing w:after="0"/>
              <w:ind w:left="0"/>
            </w:pPr>
          </w:p>
          <w:p w:rsidR="0072721E" w:rsidRDefault="007F04EE">
            <w:pPr>
              <w:widowControl w:val="0"/>
              <w:spacing w:after="0"/>
              <w:ind w:left="0"/>
            </w:pPr>
            <w:r>
              <w:t>FFA Members have indicated in our delegation paper (WCFPC 18-2021-DP04) that we will bring a revised measure to the Commission in 2022 and emphasize  the need to engage relevant CCMs in the development process through the SPA IWG work.</w:t>
            </w:r>
          </w:p>
          <w:p w:rsidR="0072721E" w:rsidRDefault="0072721E">
            <w:pPr>
              <w:widowControl w:val="0"/>
              <w:spacing w:after="0"/>
              <w:ind w:left="0"/>
            </w:pPr>
          </w:p>
          <w:p w:rsidR="0072721E" w:rsidRDefault="007F04EE">
            <w:pPr>
              <w:widowControl w:val="0"/>
              <w:spacing w:after="0"/>
              <w:ind w:left="0"/>
            </w:pPr>
            <w:r>
              <w:t>Given the progress so far, the revised stock assessment which suggests a recalibration required of the TRP and a new emphasis on progressing the harvest strategy work on south Pacific albacore, the focus of the IWG may need to be adjusted in 2022 to take these factors into account.</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We reaffirm our support for prioritising the work of the  IWG work inr 2022, commencing  early next year in order to have sufficient time to consider key issues and prepare a revised CMM for decision by WCFPC19</w:t>
            </w:r>
          </w:p>
        </w:tc>
      </w:tr>
    </w:tbl>
    <w:p w:rsidR="0072721E" w:rsidRDefault="0072721E">
      <w:pPr>
        <w:ind w:left="0"/>
      </w:pPr>
    </w:p>
    <w:p w:rsidR="0072721E" w:rsidRDefault="007F04EE">
      <w:pPr>
        <w:ind w:left="0"/>
      </w:pPr>
      <w:r>
        <w:pict>
          <v:rect id="_x0000_i1037" style="width:0;height:1.5pt" o:hralign="center" o:hrstd="t" o:hr="t" fillcolor="#a0a0a0" stroked="f"/>
        </w:pict>
      </w:r>
    </w:p>
    <w:p w:rsidR="0072721E" w:rsidRDefault="0072721E">
      <w:pPr>
        <w:ind w:left="0"/>
      </w:pPr>
    </w:p>
    <w:tbl>
      <w:tblPr>
        <w:tblStyle w:val="af5"/>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hyperlink r:id="rId81">
              <w:r>
                <w:rPr>
                  <w:color w:val="0000EE"/>
                  <w:u w:val="single"/>
                </w:rPr>
                <w:t>Joyce Samuelu-Ah Leong</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jc w:val="left"/>
            </w:pPr>
            <w:bookmarkStart w:id="34" w:name="_pkm5j2btylo7" w:colFirst="0" w:colLast="0"/>
            <w:bookmarkEnd w:id="34"/>
            <w:r>
              <w:rPr>
                <w:i/>
              </w:rPr>
              <w:t xml:space="preserve"> 7.3.3 </w:t>
            </w:r>
            <w:r>
              <w:t xml:space="preserve">Review of CMM2015-02 </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rPr>
                <w:sz w:val="20"/>
                <w:szCs w:val="20"/>
              </w:rPr>
            </w:pPr>
            <w:r>
              <w:t>The Commission will be invited to review</w:t>
            </w:r>
            <w:hyperlink r:id="rId82">
              <w:r>
                <w:rPr>
                  <w:color w:val="1155CC"/>
                  <w:u w:val="single"/>
                </w:rPr>
                <w:t xml:space="preserve"> CMM 2015-02</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rPr>
                <w:i/>
              </w:rPr>
            </w:pPr>
            <w:hyperlink r:id="rId83">
              <w:r>
                <w:rPr>
                  <w:i/>
                  <w:color w:val="1155CC"/>
                  <w:u w:val="single"/>
                </w:rPr>
                <w:t>WCFPC 18-2021-18:</w:t>
              </w:r>
            </w:hyperlink>
            <w:r>
              <w:rPr>
                <w:i/>
              </w:rPr>
              <w:t xml:space="preserve"> Reference Document for South Pacific Albacore for the Review of CMM2015-02 and Development of Harvest Strategies under CMM 2014-06</w:t>
            </w:r>
          </w:p>
          <w:p w:rsidR="0072721E" w:rsidRDefault="007F04EE">
            <w:pPr>
              <w:widowControl w:val="0"/>
              <w:spacing w:after="0"/>
              <w:ind w:left="0"/>
              <w:jc w:val="left"/>
              <w:rPr>
                <w:i/>
              </w:rPr>
            </w:pPr>
            <w:hyperlink r:id="rId84">
              <w:r>
                <w:rPr>
                  <w:i/>
                  <w:color w:val="1155CC"/>
                  <w:u w:val="single"/>
                </w:rPr>
                <w:t>WCFPC 18-2021 - DP04</w:t>
              </w:r>
            </w:hyperlink>
            <w:r>
              <w:rPr>
                <w:i/>
              </w:rPr>
              <w:t>: FFA Members Positions on key issues for WCFPC18.</w:t>
            </w:r>
          </w:p>
          <w:p w:rsidR="0072721E" w:rsidRDefault="007F04EE">
            <w:pPr>
              <w:widowControl w:val="0"/>
              <w:spacing w:after="0"/>
              <w:ind w:left="0"/>
              <w:jc w:val="left"/>
              <w:rPr>
                <w:i/>
              </w:rPr>
            </w:pPr>
            <w:hyperlink r:id="rId85">
              <w:r>
                <w:rPr>
                  <w:i/>
                  <w:color w:val="1155CC"/>
                  <w:u w:val="single"/>
                </w:rPr>
                <w:t>WCPFC18-2021- SC17</w:t>
              </w:r>
            </w:hyperlink>
            <w:r>
              <w:rPr>
                <w:i/>
              </w:rPr>
              <w:t>: SC17 Summary Report for Adoption on 11 November 2021</w:t>
            </w:r>
          </w:p>
          <w:p w:rsidR="0072721E" w:rsidRDefault="007F04EE">
            <w:pPr>
              <w:widowControl w:val="0"/>
              <w:spacing w:after="0"/>
              <w:ind w:left="0"/>
              <w:jc w:val="left"/>
              <w:rPr>
                <w:i/>
              </w:rPr>
            </w:pPr>
            <w:hyperlink r:id="rId86">
              <w:r>
                <w:rPr>
                  <w:i/>
                  <w:color w:val="1155CC"/>
                  <w:u w:val="single"/>
                </w:rPr>
                <w:t>WCPFC 18-2021-SPALB-Roadmap-IWG</w:t>
              </w:r>
            </w:hyperlink>
            <w:r>
              <w:rPr>
                <w:i/>
              </w:rPr>
              <w:t xml:space="preserve"> - Chairs Summary of the South Pacific Albacore Roadmap Intersessional Working Group Meeting</w:t>
            </w:r>
          </w:p>
          <w:p w:rsidR="0072721E" w:rsidRDefault="0072721E">
            <w:pPr>
              <w:widowControl w:val="0"/>
              <w:spacing w:after="0"/>
              <w:ind w:left="0"/>
              <w:jc w:val="left"/>
              <w:rPr>
                <w:i/>
              </w:rPr>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review of the current South Pacific albacore measure (CMM 2015-02) is one of the main activities for the SPA Roadmap IWG. Unfortunately there hasn’t been a review of this measure so far.  We are now advocating for a revised measure to bring to the Commission in 2022 and we need CCMs to engage effectively with the work of the SPA IWG.  Progressing a new CMM will be contingent on FFA members making progress with respect to establishment of zone based limits and associated management arrangements to apply within FFA EEZs, so that these can be incorporated into the new CMM.</w:t>
            </w:r>
          </w:p>
          <w:p w:rsidR="0072721E" w:rsidRDefault="0072721E">
            <w:pPr>
              <w:widowControl w:val="0"/>
              <w:spacing w:after="0"/>
              <w:ind w:left="0"/>
              <w:jc w:val="left"/>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At the Roadmap SPA IWG meeting in June 2020, FFA members raised issues that we consider are key components for the development of a revised South Pacific albacore CMM:</w:t>
            </w:r>
          </w:p>
          <w:p w:rsidR="0072721E" w:rsidRDefault="007F04EE">
            <w:pPr>
              <w:widowControl w:val="0"/>
              <w:numPr>
                <w:ilvl w:val="0"/>
                <w:numId w:val="61"/>
              </w:numPr>
              <w:spacing w:after="0"/>
            </w:pPr>
            <w:r>
              <w:t>Area for coverage (South of Equator - both EEZs and HS)</w:t>
            </w:r>
          </w:p>
          <w:p w:rsidR="0072721E" w:rsidRDefault="007F04EE">
            <w:pPr>
              <w:widowControl w:val="0"/>
              <w:numPr>
                <w:ilvl w:val="0"/>
                <w:numId w:val="61"/>
              </w:numPr>
              <w:spacing w:after="0"/>
            </w:pPr>
            <w:r>
              <w:t>Outline interim rebuilding plan to achieve TRP within 20 years.</w:t>
            </w:r>
          </w:p>
          <w:p w:rsidR="0072721E" w:rsidRDefault="007F04EE">
            <w:pPr>
              <w:widowControl w:val="0"/>
              <w:numPr>
                <w:ilvl w:val="0"/>
                <w:numId w:val="61"/>
              </w:numPr>
              <w:spacing w:after="0"/>
            </w:pPr>
            <w:r>
              <w:t>Limit efforts/catches on the high seas.</w:t>
            </w:r>
          </w:p>
          <w:p w:rsidR="0072721E" w:rsidRDefault="007F04EE">
            <w:pPr>
              <w:widowControl w:val="0"/>
              <w:numPr>
                <w:ilvl w:val="0"/>
                <w:numId w:val="61"/>
              </w:numPr>
              <w:spacing w:after="0"/>
            </w:pPr>
            <w:r>
              <w:t>Establishes an overall TAC with separate limits for HS and EEZs.</w:t>
            </w:r>
          </w:p>
          <w:p w:rsidR="0072721E" w:rsidRDefault="007F04EE">
            <w:pPr>
              <w:widowControl w:val="0"/>
              <w:numPr>
                <w:ilvl w:val="0"/>
                <w:numId w:val="61"/>
              </w:numPr>
              <w:spacing w:after="0"/>
            </w:pPr>
            <w:r>
              <w:t>Robust and effective monitoring and reporting systems to support management.</w:t>
            </w:r>
          </w:p>
          <w:p w:rsidR="0072721E" w:rsidRDefault="0072721E">
            <w:pPr>
              <w:widowControl w:val="0"/>
              <w:spacing w:after="0"/>
              <w:ind w:left="0"/>
            </w:pPr>
          </w:p>
          <w:p w:rsidR="0072721E" w:rsidRDefault="007F04EE">
            <w:pPr>
              <w:widowControl w:val="0"/>
              <w:spacing w:after="0"/>
              <w:ind w:left="0"/>
            </w:pPr>
            <w:r>
              <w:t>The general agreement from the discussions at the IWG meeting include expanding the geographic scope of the new measure to cover the whole of the southern longline fishery and stock distribution instead of 20</w:t>
            </w:r>
            <w:r>
              <w:rPr>
                <w:vertAlign w:val="superscript"/>
              </w:rPr>
              <w:t>0</w:t>
            </w:r>
            <w:r>
              <w:t>S and to establish a catch limit, including the overlap area (WCFPC &amp; IATTC) (Annex A).</w:t>
            </w:r>
          </w:p>
          <w:p w:rsidR="0072721E" w:rsidRDefault="0072721E">
            <w:pPr>
              <w:widowControl w:val="0"/>
              <w:spacing w:after="0"/>
              <w:ind w:left="0"/>
            </w:pPr>
          </w:p>
          <w:p w:rsidR="0072721E" w:rsidRDefault="007F04EE">
            <w:pPr>
              <w:widowControl w:val="0"/>
              <w:spacing w:after="0"/>
              <w:ind w:left="0"/>
            </w:pPr>
            <w:r>
              <w:t>We are flagging in this meeting (WCFPC 18-2021-DP04) that we will bring a revised measure to the Commission in 2022 and it is important that we engage relevant CCMs in the development process through the SPA IWG work.</w:t>
            </w:r>
          </w:p>
          <w:p w:rsidR="0072721E" w:rsidRDefault="0072721E">
            <w:pPr>
              <w:spacing w:after="0" w:line="276" w:lineRule="auto"/>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current measure is ineffective and FFA members have committed to the development of a comprehensive new CMM for the Commission to consider in 2022. The only restriction in the current measure is capping of vessel numbers fishing south of 20</w:t>
            </w:r>
            <w:r>
              <w:rPr>
                <w:vertAlign w:val="superscript"/>
              </w:rPr>
              <w:t xml:space="preserve">0 </w:t>
            </w:r>
            <w:r>
              <w:t>South to 2005 levels or 2000-2004 levels. This leaves a huge gap in relation to effort and catches in other parts of the high seas.</w:t>
            </w:r>
          </w:p>
          <w:p w:rsidR="0072721E" w:rsidRDefault="0072721E">
            <w:pPr>
              <w:widowControl w:val="0"/>
              <w:spacing w:after="0"/>
              <w:ind w:left="0"/>
            </w:pPr>
          </w:p>
          <w:p w:rsidR="0072721E" w:rsidRDefault="007F04EE">
            <w:pPr>
              <w:widowControl w:val="0"/>
              <w:spacing w:after="0"/>
              <w:ind w:left="0"/>
            </w:pPr>
            <w:r>
              <w:t>In addition to the key issues we’ve identified to be included in the new measure, a critical part is the recognition of our zone-based rights in the management of the SPA LL fisheries.</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FFA members are calling for the immediate freeze of SPA catch and effort on the high seas south of the equator at this meeting. Further consideration will need to be given as to how this would be given effect by the Commission should agreement be reached, including whether it would be through an amendment to the existing CMM.  Members are also flagging the intention to bring a revised SPA measure to the Commission in 2022.  There will be limited opportunities at WCPFC18 to engage CCMs on further discussing key components of a new measure. We have indicated in the SPA IWG meeting that we will be engaging CCMs through the SPA IWG on the development of this new CMM.</w:t>
            </w:r>
          </w:p>
        </w:tc>
      </w:tr>
    </w:tbl>
    <w:p w:rsidR="0072721E" w:rsidRDefault="0072721E">
      <w:pPr>
        <w:ind w:left="0"/>
      </w:pPr>
    </w:p>
    <w:p w:rsidR="0072721E" w:rsidRDefault="007F04EE">
      <w:pPr>
        <w:ind w:left="0"/>
      </w:pPr>
      <w:r>
        <w:pict>
          <v:rect id="_x0000_i1038" style="width:0;height:1.5pt" o:hralign="center" o:hrstd="t" o:hr="t" fillcolor="#a0a0a0" stroked="f"/>
        </w:pict>
      </w:r>
    </w:p>
    <w:p w:rsidR="0072721E" w:rsidRDefault="0072721E">
      <w:pPr>
        <w:ind w:left="0"/>
      </w:pPr>
    </w:p>
    <w:tbl>
      <w:tblPr>
        <w:tblStyle w:val="af6"/>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87">
              <w:r>
                <w:rPr>
                  <w:color w:val="0000EE"/>
                  <w:u w:val="single"/>
                </w:rPr>
                <w:t>Reuben Sulu</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35" w:name="_s418iqtn5ctm" w:colFirst="0" w:colLast="0"/>
            <w:bookmarkEnd w:id="35"/>
            <w:r>
              <w:t>7.4.1 Review of CMM 2019-02 (Pacific bluefin tuna)</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rPr>
                <w:sz w:val="24"/>
                <w:szCs w:val="24"/>
              </w:rPr>
              <w:t>The Commission will be invited to review any updates on CMM 2019-02</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88">
              <w:r>
                <w:rPr>
                  <w:color w:val="1155CC"/>
                  <w:u w:val="single"/>
                </w:rPr>
                <w:t>WCPFC 18-2021-19</w:t>
              </w:r>
            </w:hyperlink>
            <w:r>
              <w:t>: Reference document for Pacific bluefin tuna for the Review of CMM 2020-02 and HS2017-02, and highlights from NC17 for Agenda.</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conservation measure for Pacific bluefin tuna - CMM 2019-02 - was rolled over at WCPFC17 and is due for a review this year.  The NC17 supported the review which will include proposed increases overall in catch limits for Pacific bluefin tuna, amendments to the schedule for the development of a catch documentation scheme for Pacific bluefin tuna and a review of the harvest strategy for Pacific bluefin tuna to include harvest control rules for the second rebuilding period. This brief provides a summary of the contents of the working papers which are submitted for consideration of the review.</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ind w:left="0"/>
            </w:pPr>
            <w:r>
              <w:t>FFA members do not have significant direct interest in the Pacific bluefin tuna fishery. However the FFA broader interest is to ensure that Pacific bluefin tuna, as one of the WCPFC stocks, is managed to the same standard as other stocks.</w:t>
            </w:r>
          </w:p>
          <w:p w:rsidR="0072721E" w:rsidRDefault="007F04EE">
            <w:pPr>
              <w:widowControl w:val="0"/>
              <w:ind w:left="0"/>
            </w:pPr>
            <w:r>
              <w:t>The last stock assessment for Pacific bluefin tuna was undertaken in 2020 using data that stretches from 1952-2018 and results indicate that the species is overfished and currently undergoing overfishing.</w:t>
            </w:r>
          </w:p>
          <w:p w:rsidR="0072721E" w:rsidRDefault="007F04EE">
            <w:pPr>
              <w:widowControl w:val="0"/>
              <w:ind w:left="0"/>
            </w:pPr>
            <w:r>
              <w:t>The Pacific bluefin stock has gradually increased in the last decade from a total estimated biomass of 32,135 mt in 2009 to 82,212 mt in 2018.</w:t>
            </w:r>
          </w:p>
          <w:p w:rsidR="0072721E" w:rsidRDefault="007F04EE">
            <w:pPr>
              <w:widowControl w:val="0"/>
              <w:ind w:left="0"/>
            </w:pPr>
            <w:r>
              <w:t>Spawning Stock Biomass is estimated to be 4.5% of SSB</w:t>
            </w:r>
            <w:r>
              <w:rPr>
                <w:vertAlign w:val="subscript"/>
              </w:rPr>
              <w:t>F=0</w:t>
            </w:r>
            <w:r>
              <w:t>.</w:t>
            </w:r>
          </w:p>
          <w:p w:rsidR="0072721E" w:rsidRDefault="007F04EE">
            <w:pPr>
              <w:widowControl w:val="0"/>
              <w:ind w:left="0"/>
            </w:pPr>
            <w:r>
              <w:t>The conservation and management measure for Pacific bluefin tuna is being reviewed in light of the most recent stock assessment.</w:t>
            </w:r>
          </w:p>
          <w:p w:rsidR="0072721E" w:rsidRDefault="007F04EE">
            <w:pPr>
              <w:widowControl w:val="0"/>
              <w:ind w:left="0"/>
            </w:pPr>
            <w:r>
              <w:t>As part of this review, Japan is seeking for some increases in the catches as allowed in the harvest strategy for Pacific bluefin tuna (HS 2017-02) based on achievement of rebuilding targets in the harvest strategy.</w:t>
            </w:r>
          </w:p>
          <w:p w:rsidR="0072721E" w:rsidRDefault="007F04EE">
            <w:pPr>
              <w:widowControl w:val="0"/>
              <w:ind w:left="0"/>
            </w:pPr>
            <w:r>
              <w:t>Japan attempted to bring the CMM 2019-02 for review at WCPFC17. However, there was no support for a review of the CMM and increases in catches.  Japan eventually proposed a roll over instead which was supported.</w:t>
            </w:r>
          </w:p>
          <w:p w:rsidR="0072721E" w:rsidRDefault="007F04EE">
            <w:pPr>
              <w:widowControl w:val="0"/>
              <w:ind w:left="0"/>
            </w:pPr>
            <w:r>
              <w:t>Japan was able to gain support at NC17 for a proposed new measure which allows an  increase in catches and development of a catch documentation scheme for Pacific bluefin tuna.</w:t>
            </w:r>
          </w:p>
          <w:p w:rsidR="0072721E" w:rsidRDefault="007F04EE">
            <w:pPr>
              <w:widowControl w:val="0"/>
              <w:ind w:left="0"/>
            </w:pPr>
            <w:r>
              <w:t>FFA members expressed concern at NC17 on this proposal however did not block consensus at that meeting but reserved the right to consider their position ahead of WCPFC18.</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ind w:left="0"/>
            </w:pPr>
            <w:r>
              <w:t>Two issues are being brought to the Commission:</w:t>
            </w:r>
          </w:p>
          <w:p w:rsidR="0072721E" w:rsidRDefault="007F04EE">
            <w:pPr>
              <w:widowControl w:val="0"/>
              <w:numPr>
                <w:ilvl w:val="0"/>
                <w:numId w:val="51"/>
              </w:numPr>
              <w:spacing w:after="0"/>
            </w:pPr>
            <w:r>
              <w:t xml:space="preserve">review of the measure with a proposal for some catch increases and development of a catch documentation scheme; and </w:t>
            </w:r>
          </w:p>
          <w:p w:rsidR="0072721E" w:rsidRDefault="007F04EE">
            <w:pPr>
              <w:widowControl w:val="0"/>
              <w:numPr>
                <w:ilvl w:val="0"/>
                <w:numId w:val="51"/>
              </w:numPr>
            </w:pPr>
            <w:r>
              <w:t>review of the harvest strategy for pacific bluefin tuna (HS 2017-02).</w:t>
            </w:r>
          </w:p>
          <w:p w:rsidR="0072721E" w:rsidRDefault="007F04EE">
            <w:pPr>
              <w:widowControl w:val="0"/>
              <w:ind w:left="0"/>
            </w:pPr>
            <w:r>
              <w:t>The major changes proposed for inclusion are the new limits for Pacific bluefin tuna less than 30 kg which are increased by 50% from 2002-2004 levels and limits for Pacific Bluefin tuna 30Kg or larger which are increased by 115% of the 2002-2004 average levels or 30 metric tonnes for a CMM who does not have an initial catch limit for Pacific bluefin tuna 30kg or larger before 2022.</w:t>
            </w:r>
          </w:p>
          <w:p w:rsidR="0072721E" w:rsidRDefault="007F04EE">
            <w:pPr>
              <w:widowControl w:val="0"/>
              <w:ind w:left="0"/>
            </w:pPr>
            <w:r>
              <w:t>Japan, Korea and Chinese Taipei, are to take necessary measures to ensure that catches of Pacific  bluefin tuna less than 30kg or larger shall not exceed limits in the table below.</w:t>
            </w:r>
          </w:p>
          <w:p w:rsidR="0072721E" w:rsidRDefault="007F04EE">
            <w:pPr>
              <w:widowControl w:val="0"/>
              <w:spacing w:after="0" w:line="256" w:lineRule="auto"/>
              <w:ind w:left="20"/>
              <w:rPr>
                <w:i/>
                <w:u w:val="single"/>
              </w:rPr>
            </w:pPr>
            <w:r>
              <w:rPr>
                <w:i/>
                <w:u w:val="single"/>
              </w:rPr>
              <w:t>Pacific bluefin tuna less than 30kg</w:t>
            </w:r>
          </w:p>
          <w:tbl>
            <w:tblPr>
              <w:tblStyle w:val="af7"/>
              <w:tblW w:w="7755" w:type="dxa"/>
              <w:tblBorders>
                <w:top w:val="nil"/>
                <w:left w:val="nil"/>
                <w:bottom w:val="nil"/>
                <w:right w:val="nil"/>
                <w:insideH w:val="nil"/>
                <w:insideV w:val="nil"/>
              </w:tblBorders>
              <w:tblLayout w:type="fixed"/>
              <w:tblLook w:val="0600" w:firstRow="0" w:lastRow="0" w:firstColumn="0" w:lastColumn="0" w:noHBand="1" w:noVBand="1"/>
            </w:tblPr>
            <w:tblGrid>
              <w:gridCol w:w="1710"/>
              <w:gridCol w:w="3247"/>
              <w:gridCol w:w="2798"/>
            </w:tblGrid>
            <w:tr w:rsidR="0072721E">
              <w:trPr>
                <w:trHeight w:val="370"/>
              </w:trPr>
              <w:tc>
                <w:tcPr>
                  <w:tcW w:w="1710" w:type="dxa"/>
                  <w:tcBorders>
                    <w:top w:val="single" w:sz="8" w:space="0" w:color="000000"/>
                    <w:left w:val="single" w:sz="8" w:space="0" w:color="000000"/>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pPr>
                  <w:r>
                    <w:t xml:space="preserve"> </w:t>
                  </w:r>
                </w:p>
              </w:tc>
              <w:tc>
                <w:tcPr>
                  <w:tcW w:w="3246" w:type="dxa"/>
                  <w:tcBorders>
                    <w:top w:val="single" w:sz="8" w:space="0" w:color="000000"/>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Pr>
                      <w:u w:val="single"/>
                    </w:rPr>
                  </w:pPr>
                  <w:r>
                    <w:rPr>
                      <w:u w:val="single"/>
                    </w:rPr>
                    <w:t>2002-2004 average annual level</w:t>
                  </w:r>
                </w:p>
              </w:tc>
              <w:tc>
                <w:tcPr>
                  <w:tcW w:w="2797" w:type="dxa"/>
                  <w:tcBorders>
                    <w:top w:val="single" w:sz="8" w:space="0" w:color="000000"/>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Pr>
                      <w:u w:val="single"/>
                    </w:rPr>
                  </w:pPr>
                  <w:r>
                    <w:rPr>
                      <w:u w:val="single"/>
                    </w:rPr>
                    <w:t>Annual initial catch limit</w:t>
                  </w:r>
                </w:p>
              </w:tc>
            </w:tr>
            <w:tr w:rsidR="0072721E">
              <w:trPr>
                <w:trHeight w:val="370"/>
              </w:trPr>
              <w:tc>
                <w:tcPr>
                  <w:tcW w:w="1710" w:type="dxa"/>
                  <w:tcBorders>
                    <w:top w:val="nil"/>
                    <w:left w:val="single" w:sz="8" w:space="0" w:color="000000"/>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pPr>
                  <w:r>
                    <w:t>Japan</w:t>
                  </w:r>
                </w:p>
              </w:tc>
              <w:tc>
                <w:tcPr>
                  <w:tcW w:w="3246"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8,015 metric tons</w:t>
                  </w:r>
                </w:p>
              </w:tc>
              <w:tc>
                <w:tcPr>
                  <w:tcW w:w="2797"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4,007 metric tons</w:t>
                  </w:r>
                </w:p>
              </w:tc>
            </w:tr>
            <w:tr w:rsidR="0072721E">
              <w:trPr>
                <w:trHeight w:val="370"/>
              </w:trPr>
              <w:tc>
                <w:tcPr>
                  <w:tcW w:w="1710" w:type="dxa"/>
                  <w:tcBorders>
                    <w:top w:val="nil"/>
                    <w:left w:val="single" w:sz="8" w:space="0" w:color="000000"/>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pPr>
                  <w:r>
                    <w:t>Korea</w:t>
                  </w:r>
                </w:p>
              </w:tc>
              <w:tc>
                <w:tcPr>
                  <w:tcW w:w="3246"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1,435 metric tons</w:t>
                  </w:r>
                </w:p>
              </w:tc>
              <w:tc>
                <w:tcPr>
                  <w:tcW w:w="2797"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718 metric tons</w:t>
                  </w:r>
                </w:p>
              </w:tc>
            </w:tr>
          </w:tbl>
          <w:p w:rsidR="0072721E" w:rsidRDefault="007F04EE">
            <w:pPr>
              <w:widowControl w:val="0"/>
              <w:spacing w:after="100" w:line="256" w:lineRule="auto"/>
              <w:ind w:left="20"/>
            </w:pPr>
            <w:r>
              <w:t xml:space="preserve"> </w:t>
            </w:r>
          </w:p>
          <w:p w:rsidR="0072721E" w:rsidRDefault="007F04EE">
            <w:pPr>
              <w:widowControl w:val="0"/>
              <w:spacing w:after="0" w:line="256" w:lineRule="auto"/>
              <w:ind w:left="20"/>
              <w:rPr>
                <w:i/>
                <w:u w:val="single"/>
              </w:rPr>
            </w:pPr>
            <w:r>
              <w:rPr>
                <w:i/>
                <w:u w:val="single"/>
              </w:rPr>
              <w:t>Pacific bluefin tuna 30kg or larger</w:t>
            </w:r>
          </w:p>
          <w:tbl>
            <w:tblPr>
              <w:tblStyle w:val="af8"/>
              <w:tblW w:w="7755" w:type="dxa"/>
              <w:tblBorders>
                <w:top w:val="nil"/>
                <w:left w:val="nil"/>
                <w:bottom w:val="nil"/>
                <w:right w:val="nil"/>
                <w:insideH w:val="nil"/>
                <w:insideV w:val="nil"/>
              </w:tblBorders>
              <w:tblLayout w:type="fixed"/>
              <w:tblLook w:val="0600" w:firstRow="0" w:lastRow="0" w:firstColumn="0" w:lastColumn="0" w:noHBand="1" w:noVBand="1"/>
            </w:tblPr>
            <w:tblGrid>
              <w:gridCol w:w="1710"/>
              <w:gridCol w:w="3247"/>
              <w:gridCol w:w="2798"/>
            </w:tblGrid>
            <w:tr w:rsidR="0072721E">
              <w:trPr>
                <w:trHeight w:val="370"/>
              </w:trPr>
              <w:tc>
                <w:tcPr>
                  <w:tcW w:w="1710" w:type="dxa"/>
                  <w:tcBorders>
                    <w:top w:val="single" w:sz="8" w:space="0" w:color="000000"/>
                    <w:left w:val="single" w:sz="8" w:space="0" w:color="000000"/>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pPr>
                  <w:r>
                    <w:t xml:space="preserve"> </w:t>
                  </w:r>
                </w:p>
              </w:tc>
              <w:tc>
                <w:tcPr>
                  <w:tcW w:w="3246" w:type="dxa"/>
                  <w:tcBorders>
                    <w:top w:val="single" w:sz="8" w:space="0" w:color="000000"/>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Pr>
                      <w:u w:val="single"/>
                    </w:rPr>
                  </w:pPr>
                  <w:r>
                    <w:rPr>
                      <w:u w:val="single"/>
                    </w:rPr>
                    <w:t>2002-2004 average annual level</w:t>
                  </w:r>
                </w:p>
              </w:tc>
              <w:tc>
                <w:tcPr>
                  <w:tcW w:w="2797" w:type="dxa"/>
                  <w:tcBorders>
                    <w:top w:val="single" w:sz="8" w:space="0" w:color="000000"/>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Pr>
                      <w:u w:val="single"/>
                    </w:rPr>
                  </w:pPr>
                  <w:r>
                    <w:rPr>
                      <w:u w:val="single"/>
                    </w:rPr>
                    <w:t>Annual initial catch limit</w:t>
                  </w:r>
                </w:p>
              </w:tc>
            </w:tr>
            <w:tr w:rsidR="0072721E">
              <w:trPr>
                <w:trHeight w:val="370"/>
              </w:trPr>
              <w:tc>
                <w:tcPr>
                  <w:tcW w:w="1710" w:type="dxa"/>
                  <w:tcBorders>
                    <w:top w:val="nil"/>
                    <w:left w:val="single" w:sz="8" w:space="0" w:color="000000"/>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pPr>
                  <w:r>
                    <w:t>Japan</w:t>
                  </w:r>
                </w:p>
              </w:tc>
              <w:tc>
                <w:tcPr>
                  <w:tcW w:w="3246"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4,882 metric tons</w:t>
                  </w:r>
                </w:p>
              </w:tc>
              <w:tc>
                <w:tcPr>
                  <w:tcW w:w="2797"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5,614 metric tons</w:t>
                  </w:r>
                </w:p>
              </w:tc>
            </w:tr>
            <w:tr w:rsidR="0072721E">
              <w:trPr>
                <w:trHeight w:val="370"/>
              </w:trPr>
              <w:tc>
                <w:tcPr>
                  <w:tcW w:w="1710" w:type="dxa"/>
                  <w:tcBorders>
                    <w:top w:val="nil"/>
                    <w:left w:val="single" w:sz="8" w:space="0" w:color="000000"/>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pPr>
                  <w:r>
                    <w:t>Korea</w:t>
                  </w:r>
                </w:p>
              </w:tc>
              <w:tc>
                <w:tcPr>
                  <w:tcW w:w="3246"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0 metric tons</w:t>
                  </w:r>
                </w:p>
              </w:tc>
              <w:tc>
                <w:tcPr>
                  <w:tcW w:w="2797"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30 metric tons</w:t>
                  </w:r>
                </w:p>
              </w:tc>
            </w:tr>
            <w:tr w:rsidR="0072721E">
              <w:trPr>
                <w:trHeight w:val="370"/>
              </w:trPr>
              <w:tc>
                <w:tcPr>
                  <w:tcW w:w="1710" w:type="dxa"/>
                  <w:tcBorders>
                    <w:top w:val="nil"/>
                    <w:left w:val="single" w:sz="8" w:space="0" w:color="000000"/>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pPr>
                  <w:r>
                    <w:t>Chinese Taipei</w:t>
                  </w:r>
                </w:p>
              </w:tc>
              <w:tc>
                <w:tcPr>
                  <w:tcW w:w="3246"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1,709 metric tons</w:t>
                  </w:r>
                </w:p>
              </w:tc>
              <w:tc>
                <w:tcPr>
                  <w:tcW w:w="2797" w:type="dxa"/>
                  <w:tcBorders>
                    <w:top w:val="nil"/>
                    <w:left w:val="nil"/>
                    <w:bottom w:val="single" w:sz="8" w:space="0" w:color="000000"/>
                    <w:right w:val="single" w:sz="8" w:space="0" w:color="000000"/>
                  </w:tcBorders>
                  <w:tcMar>
                    <w:top w:w="20" w:type="dxa"/>
                    <w:left w:w="100" w:type="dxa"/>
                    <w:bottom w:w="100" w:type="dxa"/>
                    <w:right w:w="60" w:type="dxa"/>
                  </w:tcMar>
                </w:tcPr>
                <w:p w:rsidR="0072721E" w:rsidRDefault="007F04EE">
                  <w:pPr>
                    <w:widowControl w:val="0"/>
                    <w:spacing w:after="0" w:line="256" w:lineRule="auto"/>
                    <w:ind w:left="20" w:right="60"/>
                  </w:pPr>
                  <w:r>
                    <w:t>1,965 metric tons</w:t>
                  </w:r>
                </w:p>
              </w:tc>
            </w:tr>
          </w:tbl>
          <w:p w:rsidR="0072721E" w:rsidRDefault="0072721E">
            <w:pPr>
              <w:widowControl w:val="0"/>
              <w:ind w:left="0"/>
            </w:pPr>
          </w:p>
          <w:p w:rsidR="0072721E" w:rsidRDefault="007F04EE">
            <w:pPr>
              <w:widowControl w:val="0"/>
              <w:spacing w:line="237" w:lineRule="auto"/>
              <w:ind w:left="0" w:right="280"/>
            </w:pPr>
            <w:r>
              <w:t>CCMs, not in the above table, may increase its catch of Pacific bluefin tuna 30kg or larger, as long as it does not exceed 10 metric tons per year.</w:t>
            </w:r>
          </w:p>
          <w:p w:rsidR="0072721E" w:rsidRDefault="007F04EE">
            <w:pPr>
              <w:widowControl w:val="0"/>
              <w:ind w:left="0"/>
            </w:pPr>
            <w:r>
              <w:t>With regards to the catch documentation scheme for Pacific bluefin tuna, the schedule will need to be modified</w:t>
            </w:r>
          </w:p>
          <w:p w:rsidR="0072721E" w:rsidRDefault="007F04EE">
            <w:pPr>
              <w:widowControl w:val="0"/>
              <w:ind w:left="0"/>
            </w:pPr>
            <w:r>
              <w:t>On the harvest strategy, the harvest control rules during the second rebuilding period are being amended to include 10 years after reaching the rebuilding target, alongside 2034, with whichever is earlier between the two being the trigger to take management measures.</w:t>
            </w:r>
          </w:p>
          <w:p w:rsidR="0072721E" w:rsidRDefault="007F04EE">
            <w:pPr>
              <w:widowControl w:val="0"/>
              <w:ind w:left="0"/>
            </w:pPr>
            <w:r>
              <w:t>Further amendments include the need for WCPFC and IATTC  to cooperate in any adjustments of the measure and finally for the harvest control rule to be modified as necessary if depletion estimates across the time series have been adjusted due to changes in assumptions and/or settings of the stock assessment model.</w:t>
            </w:r>
          </w:p>
          <w:p w:rsidR="0072721E" w:rsidRDefault="007F04EE">
            <w:pPr>
              <w:spacing w:before="240" w:after="120" w:line="259" w:lineRule="auto"/>
              <w:ind w:left="0"/>
            </w:pPr>
            <w:r>
              <w:t xml:space="preserve">Although FFA members have a range of concerns regarding the uncertainty in the assessment and the highly depleted state of the Pacific bluefin tuna stock, FFA members are fully committed to the development and use of Harvest Strategies to manage the tuna stocks in the WCPFC.  Opposing the application of the Pacific bluefin Harvest Strategy and associated interim HCR risks undermining our objectives with respect to adopting HS for other tuna stocks where Japan's support is advantageous. </w:t>
            </w:r>
          </w:p>
          <w:p w:rsidR="0072721E" w:rsidRDefault="007F04EE">
            <w:pPr>
              <w:spacing w:before="240" w:after="120" w:line="259" w:lineRule="auto"/>
              <w:ind w:left="0"/>
            </w:pPr>
            <w:r>
              <w:t>However, just because an increase in catch is allowed under the interim harvest control rule, it is by no means mandatory or automatic, especially when there is so much uncertainty in the assessment, there is a low likelihood of sufficient rebuilding in the stock and the spawning stock biomass is estimated to be 4.5% of SSB</w:t>
            </w:r>
            <w:r>
              <w:rPr>
                <w:vertAlign w:val="subscript"/>
              </w:rPr>
              <w:t>F=0</w:t>
            </w:r>
            <w:r>
              <w:t>.  The latter is well below the limit reference point (of 20% of SSB</w:t>
            </w:r>
            <w:r>
              <w:rPr>
                <w:vertAlign w:val="subscript"/>
              </w:rPr>
              <w:t>F=0</w:t>
            </w:r>
            <w:r>
              <w:t>) employed in WCPFC for its main tuna stocks.</w:t>
            </w:r>
          </w:p>
          <w:p w:rsidR="0072721E" w:rsidRDefault="007F04EE">
            <w:pPr>
              <w:spacing w:before="240" w:after="120" w:line="259" w:lineRule="auto"/>
              <w:ind w:left="0"/>
            </w:pPr>
            <w:r>
              <w:t>On a more general note, Japan has made it clear that this is an issue of priority importance for them and, in seeking FFA support, Japan has linked this issue to others of priority importance to FFA members.</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Based on the above, FFA members may express further concern on the increase. However, in the interest of cooperation with Japan across a number of key areas for FFA Members, refrain from blocking the review and proposals for catch increases as allowed under the harvest control rules, whilst taking steps to ensure similar cooperation by Japan on other priority issues of critical importance to FFA Members. </w:t>
            </w:r>
          </w:p>
          <w:p w:rsidR="0072721E" w:rsidRDefault="0072721E">
            <w:pPr>
              <w:widowControl w:val="0"/>
              <w:spacing w:after="0"/>
              <w:ind w:left="0"/>
            </w:pPr>
          </w:p>
          <w:p w:rsidR="0072721E" w:rsidRDefault="007F04EE">
            <w:pPr>
              <w:widowControl w:val="0"/>
              <w:spacing w:after="0"/>
              <w:ind w:left="0"/>
            </w:pPr>
            <w:r>
              <w:t>In addition to the short-term objective of gaining Japan support for a number of immediate FFA priorities, the longer term objective for this approach is to demonstrate FFA confidence in the application of harvest control rules and to ensure Japan supports the use of harvest strategies to manage tropical tuna species and skipjack tuna in particular.</w:t>
            </w:r>
          </w:p>
          <w:p w:rsidR="0072721E" w:rsidRDefault="007F04EE">
            <w:pPr>
              <w:widowControl w:val="0"/>
              <w:spacing w:after="0"/>
              <w:ind w:left="0"/>
            </w:pPr>
            <w:r>
              <w:t xml:space="preserve"> </w:t>
            </w:r>
          </w:p>
        </w:tc>
      </w:tr>
    </w:tbl>
    <w:p w:rsidR="0072721E" w:rsidRDefault="0072721E">
      <w:pPr>
        <w:ind w:left="0"/>
      </w:pPr>
    </w:p>
    <w:p w:rsidR="0072721E" w:rsidRDefault="007F04EE">
      <w:pPr>
        <w:ind w:left="0"/>
      </w:pPr>
      <w:r>
        <w:pict>
          <v:rect id="_x0000_i1039" style="width:0;height:1.5pt" o:hralign="center" o:hrstd="t" o:hr="t" fillcolor="#a0a0a0" stroked="f"/>
        </w:pict>
      </w:r>
    </w:p>
    <w:p w:rsidR="0072721E" w:rsidRDefault="0072721E">
      <w:pPr>
        <w:ind w:left="0"/>
      </w:pPr>
    </w:p>
    <w:tbl>
      <w:tblPr>
        <w:tblStyle w:val="af9"/>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sz w:val="24"/>
                <w:szCs w:val="24"/>
              </w:rPr>
            </w:pPr>
            <w:r>
              <w:rPr>
                <w:b/>
                <w:sz w:val="24"/>
                <w:szCs w:val="24"/>
              </w:rPr>
              <w:t>Primary Author</w:t>
            </w:r>
          </w:p>
          <w:p w:rsidR="0072721E" w:rsidRDefault="007F04EE">
            <w:pPr>
              <w:widowControl w:val="0"/>
              <w:spacing w:after="0"/>
              <w:ind w:left="0"/>
              <w:rPr>
                <w:b/>
                <w:sz w:val="24"/>
                <w:szCs w:val="24"/>
                <w:highlight w:val="yellow"/>
              </w:rPr>
            </w:pPr>
            <w:r>
              <w:rPr>
                <w:b/>
                <w:sz w:val="24"/>
                <w:szCs w:val="24"/>
                <w:highlight w:val="yellow"/>
              </w:rPr>
              <w:t>[SPC PRESENTATION]</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hyperlink r:id="rId89">
              <w:r>
                <w:rPr>
                  <w:color w:val="0000EE"/>
                  <w:u w:val="single"/>
                </w:rPr>
                <w:t>Lianos Triantafillos</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36" w:name="_th5rwk3f0sn8" w:colFirst="0" w:colLast="0"/>
            <w:bookmarkEnd w:id="36"/>
            <w:r>
              <w:t>7.5.1 Future projections as requested by WCPFC16 (for SW Pacific swordfish)</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Commission will consider the SC17 advice and results of the future projections for Southwest Pacific swordfish as tasked by WCPFC16 (para 481, WCPFC16 Summary Report) and SC17 (para 69-71, SC17 Outcomes Document).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90">
              <w:r>
                <w:rPr>
                  <w:color w:val="1155CC"/>
                  <w:u w:val="single"/>
                </w:rPr>
                <w:t>WCPFC18-2021-20 - Southwest Pacific swordfish stock projections</w:t>
              </w:r>
            </w:hyperlink>
          </w:p>
          <w:p w:rsidR="0072721E" w:rsidRDefault="007F04EE">
            <w:pPr>
              <w:widowControl w:val="0"/>
              <w:spacing w:after="0"/>
              <w:ind w:left="0"/>
              <w:rPr>
                <w:i/>
              </w:rPr>
            </w:pPr>
            <w:hyperlink r:id="rId91">
              <w:r>
                <w:rPr>
                  <w:color w:val="1155CC"/>
                  <w:u w:val="single"/>
                </w:rPr>
                <w:t>WCPFC18-2021-SC17 - SC17 Summary Report for adoption on 11 Nov 2021</w:t>
              </w:r>
            </w:hyperlink>
          </w:p>
          <w:p w:rsidR="0072721E" w:rsidRDefault="007F04EE">
            <w:pPr>
              <w:widowControl w:val="0"/>
              <w:spacing w:after="0"/>
              <w:ind w:left="0"/>
            </w:pPr>
            <w:hyperlink r:id="rId92">
              <w:r>
                <w:rPr>
                  <w:color w:val="1155CC"/>
                  <w:u w:val="single"/>
                </w:rPr>
                <w:t>WCPFC18-2021-21 - Reference document for southwest Pacific swordfish for the review of CMM 2009-03</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paper </w:t>
            </w:r>
            <w:hyperlink r:id="rId93">
              <w:r>
                <w:rPr>
                  <w:color w:val="1155CC"/>
                  <w:u w:val="single"/>
                </w:rPr>
                <w:t>WCPFC18-2021-20</w:t>
              </w:r>
            </w:hyperlink>
            <w:r>
              <w:t xml:space="preserve"> describes the results of stochastic stock projections for southwest Pacific Ocean (SWPO) swordfish, using the 2021 stock assessment (Ducharme Barth et al. 2021). These projections explore the outcomes of 8 different future fishing scenarios in response to requests from WCPFC16 and SC17.</w:t>
            </w:r>
          </w:p>
          <w:p w:rsidR="0072721E" w:rsidRDefault="0072721E">
            <w:pPr>
              <w:widowControl w:val="0"/>
              <w:spacing w:after="0"/>
              <w:ind w:left="0"/>
            </w:pPr>
          </w:p>
          <w:p w:rsidR="0072721E" w:rsidRDefault="007F04EE">
            <w:pPr>
              <w:widowControl w:val="0"/>
              <w:spacing w:after="0"/>
              <w:ind w:left="0"/>
            </w:pPr>
            <w:r>
              <w:t xml:space="preserve">The results of the 30-year projections showed that the two high catch scenarios (i.e. ‘maximum catch’ and ‘fully caught’) produced the worst outcomes for SWPO swordfish stock status. Both these catch scenarios led to the stock becoming considerably more depleted than at the start of the projection period, and had a relatively high number of projections indicating the stock crashed after 10 years. </w:t>
            </w:r>
          </w:p>
          <w:p w:rsidR="0072721E" w:rsidRDefault="0072721E">
            <w:pPr>
              <w:widowControl w:val="0"/>
              <w:spacing w:after="0"/>
              <w:ind w:left="0"/>
            </w:pPr>
          </w:p>
          <w:p w:rsidR="0072721E" w:rsidRDefault="007F04EE">
            <w:pPr>
              <w:widowControl w:val="0"/>
              <w:spacing w:after="0"/>
              <w:ind w:left="0"/>
            </w:pPr>
            <w:r>
              <w:t>Projections that maintained the status quo catch levels tended to result in the stock being maintained at similar to, or slightly less, depleted levels than at the starting year of 2019, both at the 10 year and terminal (30) year stage of the projections. The status quo catch scenario also had low associated risk of breaching the standard WCPFC tuna benchmarks for indicating overfishing and overfished status.</w:t>
            </w:r>
          </w:p>
          <w:p w:rsidR="0072721E" w:rsidRDefault="0072721E">
            <w:pPr>
              <w:widowControl w:val="0"/>
              <w:spacing w:after="0"/>
              <w:ind w:left="0"/>
            </w:pPr>
          </w:p>
          <w:p w:rsidR="0072721E" w:rsidRDefault="007F04EE">
            <w:pPr>
              <w:widowControl w:val="0"/>
              <w:spacing w:after="0"/>
              <w:ind w:left="0"/>
            </w:pPr>
            <w:r>
              <w:t xml:space="preserve">Effort-based projections generally performed similar to the catch-based scenarios across the status quo and </w:t>
            </w:r>
            <w:r>
              <w:rPr>
                <w:u w:val="single"/>
              </w:rPr>
              <w:t>+</w:t>
            </w:r>
            <w:r>
              <w:t>20% scenarios.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A new stock assessment for SWPO swordfish was completed in 2021 (Ducharme-Barth et al 2021). Although there are no formally agreed reference points for this species, according to the relevant benchmarks established by the WCPFC for tuna species, the 2021 assessment indicates that the SWPO swordfish stock is not currently overfished (13% probability that </w:t>
            </w:r>
            <w:r>
              <w:rPr>
                <w:i/>
              </w:rPr>
              <w:t>SB</w:t>
            </w:r>
            <w:r>
              <w:rPr>
                <w:i/>
                <w:vertAlign w:val="subscript"/>
              </w:rPr>
              <w:t>latest</w:t>
            </w:r>
            <w:r>
              <w:rPr>
                <w:i/>
              </w:rPr>
              <w:t>/SB</w:t>
            </w:r>
            <w:r>
              <w:rPr>
                <w:i/>
                <w:vertAlign w:val="subscript"/>
              </w:rPr>
              <w:t>MSY</w:t>
            </w:r>
            <w:r>
              <w:t xml:space="preserve"> &lt; 1 and a 10% probability that SB</w:t>
            </w:r>
            <w:r>
              <w:rPr>
                <w:vertAlign w:val="subscript"/>
              </w:rPr>
              <w:t>latest</w:t>
            </w:r>
            <w:r>
              <w:rPr>
                <w:i/>
              </w:rPr>
              <w:t>/</w:t>
            </w:r>
            <w:r>
              <w:t>SB</w:t>
            </w:r>
            <w:r>
              <w:rPr>
                <w:vertAlign w:val="subscript"/>
              </w:rPr>
              <w:t>F=0</w:t>
            </w:r>
            <w:r>
              <w:t xml:space="preserve">&lt;0.2) or undergoing overfishing (80% probability </w:t>
            </w:r>
            <w:r>
              <w:rPr>
                <w:i/>
              </w:rPr>
              <w:t>F&lt;F</w:t>
            </w:r>
            <w:r>
              <w:rPr>
                <w:i/>
                <w:vertAlign w:val="subscript"/>
              </w:rPr>
              <w:t>MSY</w:t>
            </w:r>
            <w:r>
              <w:t xml:space="preserve"> and 20% probability </w:t>
            </w:r>
            <w:r>
              <w:rPr>
                <w:i/>
              </w:rPr>
              <w:t>F&gt;F</w:t>
            </w:r>
            <w:r>
              <w:rPr>
                <w:i/>
                <w:vertAlign w:val="subscript"/>
              </w:rPr>
              <w:t>MSY</w:t>
            </w:r>
            <w:r>
              <w:t xml:space="preserve">). </w:t>
            </w:r>
          </w:p>
          <w:p w:rsidR="0072721E" w:rsidRDefault="0072721E">
            <w:pPr>
              <w:widowControl w:val="0"/>
              <w:spacing w:after="0"/>
              <w:ind w:left="0"/>
            </w:pPr>
          </w:p>
          <w:p w:rsidR="0072721E" w:rsidRDefault="007F04EE">
            <w:pPr>
              <w:widowControl w:val="0"/>
              <w:spacing w:after="0"/>
              <w:ind w:left="0"/>
            </w:pPr>
            <w:r>
              <w:t xml:space="preserve">In spite of this, SC17 raised concerns over the implications of recent levels of swordfish catch for the long-term trajectory of the SWPO swordfish stock. These concerns renewed interest in conducting stochastic stock projections based on the 2021 stock assessment. </w:t>
            </w:r>
          </w:p>
          <w:p w:rsidR="0072721E" w:rsidRDefault="0072721E">
            <w:pPr>
              <w:widowControl w:val="0"/>
              <w:spacing w:after="0"/>
              <w:ind w:left="0"/>
            </w:pPr>
          </w:p>
          <w:p w:rsidR="0072721E" w:rsidRDefault="007F04EE">
            <w:pPr>
              <w:widowControl w:val="0"/>
              <w:spacing w:after="0"/>
              <w:ind w:left="0"/>
            </w:pPr>
            <w:r>
              <w:t xml:space="preserve">The paper </w:t>
            </w:r>
            <w:hyperlink r:id="rId94">
              <w:r>
                <w:rPr>
                  <w:color w:val="1155CC"/>
                  <w:u w:val="single"/>
                </w:rPr>
                <w:t>WCPFC18-2021-20</w:t>
              </w:r>
            </w:hyperlink>
            <w:r>
              <w:t xml:space="preserve"> describes the results of these stochastic stock projections for SWPO swordfish.</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projections explore the outcomes of 8 different future fishing scenarios, according to requests from WCPFC16 and SC17. These future fishing scenarios include: </w:t>
            </w:r>
          </w:p>
          <w:p w:rsidR="0072721E" w:rsidRDefault="007F04EE">
            <w:pPr>
              <w:widowControl w:val="0"/>
              <w:numPr>
                <w:ilvl w:val="0"/>
                <w:numId w:val="33"/>
              </w:numPr>
              <w:spacing w:after="0"/>
            </w:pPr>
            <w:r>
              <w:rPr>
                <w:b/>
              </w:rPr>
              <w:t>Status quo catch</w:t>
            </w:r>
            <w:r>
              <w:t xml:space="preserve"> (SQC) - average of 2016-18 catch north and south of 20°S.</w:t>
            </w:r>
          </w:p>
          <w:p w:rsidR="0072721E" w:rsidRDefault="007F04EE">
            <w:pPr>
              <w:widowControl w:val="0"/>
              <w:numPr>
                <w:ilvl w:val="0"/>
                <w:numId w:val="33"/>
              </w:numPr>
              <w:spacing w:after="0"/>
            </w:pPr>
            <w:r>
              <w:rPr>
                <w:b/>
              </w:rPr>
              <w:t>SQC + 20%.</w:t>
            </w:r>
          </w:p>
          <w:p w:rsidR="0072721E" w:rsidRDefault="007F04EE">
            <w:pPr>
              <w:widowControl w:val="0"/>
              <w:numPr>
                <w:ilvl w:val="0"/>
                <w:numId w:val="33"/>
              </w:numPr>
              <w:spacing w:after="0"/>
            </w:pPr>
            <w:r>
              <w:rPr>
                <w:b/>
              </w:rPr>
              <w:t>SQC -20%.</w:t>
            </w:r>
          </w:p>
          <w:p w:rsidR="0072721E" w:rsidRDefault="007F04EE">
            <w:pPr>
              <w:widowControl w:val="0"/>
              <w:numPr>
                <w:ilvl w:val="0"/>
                <w:numId w:val="33"/>
              </w:numPr>
              <w:spacing w:after="0"/>
            </w:pPr>
            <w:r>
              <w:rPr>
                <w:b/>
              </w:rPr>
              <w:t>Status quo effort</w:t>
            </w:r>
            <w:r>
              <w:t xml:space="preserve"> (SQE) – average of 2016-18 effort north and south of 20°S.</w:t>
            </w:r>
          </w:p>
          <w:p w:rsidR="0072721E" w:rsidRDefault="007F04EE">
            <w:pPr>
              <w:widowControl w:val="0"/>
              <w:numPr>
                <w:ilvl w:val="0"/>
                <w:numId w:val="33"/>
              </w:numPr>
              <w:spacing w:after="0"/>
            </w:pPr>
            <w:r>
              <w:rPr>
                <w:b/>
              </w:rPr>
              <w:t>SQE +20%.</w:t>
            </w:r>
          </w:p>
          <w:p w:rsidR="0072721E" w:rsidRDefault="007F04EE">
            <w:pPr>
              <w:widowControl w:val="0"/>
              <w:numPr>
                <w:ilvl w:val="0"/>
                <w:numId w:val="33"/>
              </w:numPr>
              <w:spacing w:after="0"/>
            </w:pPr>
            <w:r>
              <w:rPr>
                <w:b/>
              </w:rPr>
              <w:t>SQE -20%.</w:t>
            </w:r>
          </w:p>
          <w:p w:rsidR="0072721E" w:rsidRDefault="007F04EE">
            <w:pPr>
              <w:widowControl w:val="0"/>
              <w:numPr>
                <w:ilvl w:val="0"/>
                <w:numId w:val="33"/>
              </w:numPr>
              <w:spacing w:after="0"/>
            </w:pPr>
            <w:r>
              <w:rPr>
                <w:b/>
              </w:rPr>
              <w:t>Fully caught limit</w:t>
            </w:r>
            <w:r>
              <w:t xml:space="preserve"> – assumes average of 2016-18 catches north of 20°S and CCM nominated maximum total catch levels (paragraph 4 of CMM 2009-03) of fishing south of 20°S.</w:t>
            </w:r>
          </w:p>
          <w:p w:rsidR="0072721E" w:rsidRDefault="007F04EE">
            <w:pPr>
              <w:widowControl w:val="0"/>
              <w:numPr>
                <w:ilvl w:val="0"/>
                <w:numId w:val="33"/>
              </w:numPr>
              <w:spacing w:after="0"/>
              <w:ind w:left="714" w:hanging="357"/>
            </w:pPr>
            <w:r>
              <w:rPr>
                <w:b/>
              </w:rPr>
              <w:t>Maximum catch</w:t>
            </w:r>
            <w:r>
              <w:t xml:space="preserve"> – peak (2011-13) levels of catch north of 20°S and CCM nominated maximum total catch levels (paragraph 4 of CMM 2009-03) of fishing south of 20°S.</w:t>
            </w:r>
          </w:p>
          <w:p w:rsidR="0072721E" w:rsidRDefault="0072721E">
            <w:pPr>
              <w:widowControl w:val="0"/>
              <w:spacing w:after="0"/>
              <w:ind w:left="0"/>
            </w:pPr>
          </w:p>
          <w:p w:rsidR="0072721E" w:rsidRDefault="007F04EE">
            <w:pPr>
              <w:widowControl w:val="0"/>
              <w:spacing w:after="0"/>
              <w:ind w:left="0"/>
            </w:pPr>
            <w:r>
              <w:t>The outputs of the projections are presented for the terminal (30) year of the projection period when the stock is expected to have reached equilibrium under the specific fishing scenarios, as well as for the shorter projection period of 10 years.</w:t>
            </w:r>
          </w:p>
          <w:p w:rsidR="0072721E" w:rsidRDefault="0072721E">
            <w:pPr>
              <w:widowControl w:val="0"/>
              <w:spacing w:after="0"/>
              <w:ind w:left="0"/>
            </w:pPr>
          </w:p>
          <w:p w:rsidR="0072721E" w:rsidRDefault="007F04EE">
            <w:pPr>
              <w:widowControl w:val="0"/>
              <w:spacing w:after="0"/>
              <w:ind w:left="0"/>
            </w:pPr>
            <w:r>
              <w:t xml:space="preserve">The results of the projections are presented in terms of the standard performance indicators and reference points used for tuna species by the WCPFC. Risk is presented as the percentage of models that breached reference points used for tuna species by the WCPFC. </w:t>
            </w:r>
          </w:p>
          <w:p w:rsidR="0072721E" w:rsidRDefault="0072721E">
            <w:pPr>
              <w:widowControl w:val="0"/>
              <w:spacing w:after="0"/>
              <w:ind w:left="0"/>
            </w:pPr>
          </w:p>
          <w:p w:rsidR="0072721E" w:rsidRDefault="007F04EE">
            <w:pPr>
              <w:widowControl w:val="0"/>
              <w:spacing w:after="0"/>
              <w:ind w:left="0"/>
            </w:pPr>
            <w:r>
              <w:t xml:space="preserve">An analysis of the 30-year projections showed that of the 8 future fishing scenarios, the ‘maximum catch’ and ‘fully caught’ scenarios often crashed the stock, and led to a high number of projections (54-69%) declining to &lt;20% </w:t>
            </w:r>
            <w:r>
              <w:rPr>
                <w:i/>
              </w:rPr>
              <w:t>SB</w:t>
            </w:r>
            <w:r>
              <w:rPr>
                <w:i/>
                <w:vertAlign w:val="subscript"/>
              </w:rPr>
              <w:t xml:space="preserve">F=0 </w:t>
            </w:r>
            <w:r>
              <w:t>by the terminal year. These two future fishing scenarios represented higher catches than observed over the history of the fishery.</w:t>
            </w:r>
          </w:p>
          <w:p w:rsidR="0072721E" w:rsidRDefault="0072721E">
            <w:pPr>
              <w:widowControl w:val="0"/>
              <w:spacing w:after="0"/>
              <w:ind w:left="0"/>
            </w:pPr>
          </w:p>
          <w:p w:rsidR="0072721E" w:rsidRDefault="007F04EE">
            <w:pPr>
              <w:widowControl w:val="0"/>
              <w:spacing w:after="0"/>
              <w:ind w:left="0"/>
            </w:pPr>
            <w:r>
              <w:t xml:space="preserve">The other 6 catch and effort-based projections had lower impacts, both at the 10 year and terminal year stage of the projections. The status quo scenarios (i.e. SQC and SQE) maintained the stock at a similar, albeit slightly less depleted status, than at the beginning of the projection period, with low numbers of models (&lt;10%) breaching the benchmarks for overfishing and overfished status applied to tuna by the WCPFC. </w:t>
            </w:r>
          </w:p>
          <w:p w:rsidR="0072721E" w:rsidRDefault="0072721E">
            <w:pPr>
              <w:widowControl w:val="0"/>
              <w:spacing w:after="0"/>
              <w:ind w:left="0"/>
            </w:pPr>
          </w:p>
          <w:p w:rsidR="0072721E" w:rsidRDefault="007F04EE">
            <w:pPr>
              <w:widowControl w:val="0"/>
              <w:spacing w:after="0"/>
              <w:ind w:left="0"/>
            </w:pPr>
            <w:r>
              <w:t>The 20% increase and decrease in status quo catches and effort had a moderate impact on terminal stock status compared to the status quo. The 20% increases led to a slightly more depleted stock status than the 2019 starting level, with 8-22% of models breaching the benchmarks for overfishing or overfished status applied to tuna by the WCPFC. By comparison, only 1% and 4% of models breached the benchmarks for overfishing or overfished status applied to tuna by the WCPFC, for SQC-20% and SQE-20%.</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It is recommended that FFA members note:</w:t>
            </w:r>
          </w:p>
          <w:p w:rsidR="0072721E" w:rsidRDefault="007F04EE">
            <w:pPr>
              <w:widowControl w:val="0"/>
              <w:numPr>
                <w:ilvl w:val="0"/>
                <w:numId w:val="26"/>
              </w:numPr>
              <w:spacing w:after="0"/>
            </w:pPr>
            <w:r>
              <w:t>there was a relatively high number of projections that resulted in the stock crashing after 10 years under the two high catch scenarios.</w:t>
            </w:r>
          </w:p>
          <w:p w:rsidR="0072721E" w:rsidRDefault="007F04EE">
            <w:pPr>
              <w:widowControl w:val="0"/>
              <w:numPr>
                <w:ilvl w:val="0"/>
                <w:numId w:val="26"/>
              </w:numPr>
              <w:spacing w:after="0"/>
            </w:pPr>
            <w:bookmarkStart w:id="37" w:name="_6vw2cjav8gdh" w:colFirst="0" w:colLast="0"/>
            <w:bookmarkEnd w:id="37"/>
            <w:r>
              <w:t xml:space="preserve">projections that show a 20% increase in catch above the 2016-18 baselines levels had a moderate impact on terminal stock status compared to status quo, with 22% of models breaching the benchmarks for overfishing or overfished status applied to tuna by the WCPFC. This is problematic given the SC17 noted the current measure  for SWPO swordfish  (CMM 2009-03) does not contain provisions to limit total fishing mortality on the stock. </w:t>
            </w:r>
          </w:p>
          <w:p w:rsidR="0072721E" w:rsidRDefault="007F04EE">
            <w:pPr>
              <w:widowControl w:val="0"/>
              <w:numPr>
                <w:ilvl w:val="0"/>
                <w:numId w:val="26"/>
              </w:numPr>
              <w:spacing w:after="0"/>
            </w:pPr>
            <w:r>
              <w:t>that SC17 has emphasised the importance of WCPFC to develop a revised and strengthened CMM that will ensure the ongoing future sustainability of the SWPO  swordfish.</w:t>
            </w:r>
          </w:p>
        </w:tc>
      </w:tr>
    </w:tbl>
    <w:p w:rsidR="0072721E" w:rsidRDefault="0072721E">
      <w:pPr>
        <w:ind w:left="0"/>
      </w:pPr>
    </w:p>
    <w:p w:rsidR="0072721E" w:rsidRDefault="007F04EE">
      <w:pPr>
        <w:ind w:left="0"/>
      </w:pPr>
      <w:r>
        <w:pict>
          <v:rect id="_x0000_i1040" style="width:0;height:1.5pt" o:hralign="center" o:hrstd="t" o:hr="t" fillcolor="#a0a0a0" stroked="f"/>
        </w:pict>
      </w:r>
    </w:p>
    <w:p w:rsidR="0072721E" w:rsidRDefault="0072721E">
      <w:pPr>
        <w:ind w:left="0"/>
      </w:pPr>
    </w:p>
    <w:tbl>
      <w:tblPr>
        <w:tblStyle w:val="afa"/>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95">
              <w:r>
                <w:rPr>
                  <w:color w:val="0000EE"/>
                  <w:u w:val="single"/>
                </w:rPr>
                <w:t>Lianos Triantafillos</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38" w:name="_3o9ebso7s5db" w:colFirst="0" w:colLast="0"/>
            <w:bookmarkEnd w:id="38"/>
            <w:r>
              <w:t>7.5.2 Review of CMM 2009-03</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Commission will be invited to review CMM 2009-03.</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96">
              <w:r>
                <w:rPr>
                  <w:color w:val="1155CC"/>
                  <w:u w:val="single"/>
                </w:rPr>
                <w:t>WCPFC 18-2021-20 - Southwest Pacific swordfish stock projections</w:t>
              </w:r>
            </w:hyperlink>
          </w:p>
          <w:p w:rsidR="0072721E" w:rsidRDefault="007F04EE">
            <w:pPr>
              <w:widowControl w:val="0"/>
              <w:spacing w:after="0"/>
              <w:ind w:left="0"/>
              <w:rPr>
                <w:i/>
              </w:rPr>
            </w:pPr>
            <w:hyperlink r:id="rId97">
              <w:r>
                <w:rPr>
                  <w:color w:val="1155CC"/>
                  <w:u w:val="single"/>
                </w:rPr>
                <w:t>WCPFC18-2021-SC17 - SC17 Summary Report for adoption on 11 Nov 2021</w:t>
              </w:r>
            </w:hyperlink>
          </w:p>
          <w:p w:rsidR="0072721E" w:rsidRDefault="007F04EE">
            <w:pPr>
              <w:widowControl w:val="0"/>
              <w:spacing w:after="0"/>
              <w:ind w:left="0"/>
            </w:pPr>
            <w:hyperlink r:id="rId98">
              <w:r>
                <w:rPr>
                  <w:color w:val="1155CC"/>
                  <w:u w:val="single"/>
                </w:rPr>
                <w:t>WCPFC18-2021-21 - Reference document for southwest Pacific swordfish for the review of CMM 2009-03</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highlight w:val="yellow"/>
              </w:rPr>
            </w:pPr>
            <w:r>
              <w:t>The purpose of the paper WCPFC18-2021-21 is to provide a quick reference guide to the recommendations of the WCPFC16 and SC17 in support of discussions for the review of CMM 2009-03 (CMM for Southwest Pacific swordfish). This paper includes the stock status, management advice, and recommendations for the Southwest Pacific swordfish stock based on the latest 2021 stock assessment.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CMM 2009-03 (</w:t>
            </w:r>
            <w:r>
              <w:rPr>
                <w:i/>
              </w:rPr>
              <w:t>Conservation and Management for Swordfish</w:t>
            </w:r>
            <w:r>
              <w:t>) was adopted by the Commission in 2009 based on the recommendation by the Scientific Committee that there be no increases in fishing mortality for south-central Pacific swordfish until there is a better understanding of fishing impacts in the south-central Pacific stock and the relationship between this stock and other south Pacific stocks is more certain.</w:t>
            </w:r>
          </w:p>
          <w:p w:rsidR="0072721E" w:rsidRDefault="0072721E">
            <w:pPr>
              <w:widowControl w:val="0"/>
              <w:spacing w:after="0"/>
              <w:ind w:left="0"/>
            </w:pPr>
          </w:p>
          <w:p w:rsidR="0072721E" w:rsidRDefault="007F04EE">
            <w:pPr>
              <w:widowControl w:val="0"/>
              <w:spacing w:after="0"/>
              <w:ind w:left="0"/>
            </w:pPr>
            <w:r>
              <w:t>This CMM lacks restrictions in the area north of 20°S (particularly the high seas), and allows for unrestrained increases in fishing mortality. Although flag-based limits for the area south of 20°S place a cap on the number of vessels targeting swordfish and catches of swordfish (by flag), these limits may be too high to prevent future overfishing (especially when combined with increased northern catches) or to prevent sub-regional localised depletions. Given these concerns, Australia stated its intention to seek a Commission process to revise and strengthen CMM 2009-03 at WCPFC15.</w:t>
            </w:r>
          </w:p>
          <w:p w:rsidR="0072721E" w:rsidRDefault="0072721E">
            <w:pPr>
              <w:widowControl w:val="0"/>
              <w:spacing w:after="0"/>
              <w:ind w:left="0"/>
            </w:pPr>
          </w:p>
          <w:p w:rsidR="0072721E" w:rsidRDefault="007F04EE">
            <w:pPr>
              <w:widowControl w:val="0"/>
              <w:spacing w:after="0"/>
              <w:ind w:left="0"/>
            </w:pPr>
            <w:r>
              <w:t>At SC16, Australia provided a review of potential options for managing swordfish taken as bycatch in longline fisheries (</w:t>
            </w:r>
            <w:hyperlink r:id="rId99">
              <w:r>
                <w:rPr>
                  <w:color w:val="1155CC"/>
                  <w:u w:val="single"/>
                </w:rPr>
                <w:t>SC16-2020/MI-IP-22 (Rev.01)</w:t>
              </w:r>
            </w:hyperlink>
            <w:r>
              <w:t>. At WCPFC16, the Commission considered a discussion paper (</w:t>
            </w:r>
            <w:hyperlink r:id="rId100">
              <w:r>
                <w:rPr>
                  <w:color w:val="1155CC"/>
                  <w:u w:val="single"/>
                </w:rPr>
                <w:t>WCPFC16-2019-DP19</w:t>
              </w:r>
            </w:hyperlink>
            <w:r>
              <w:t>), including the key concerns regarding the management of this stock and the high level principles identified by Australia for strengthening the CMM. In response to this paper, the Commission tasked the Scientific Committee to:</w:t>
            </w:r>
          </w:p>
          <w:p w:rsidR="0072721E" w:rsidRDefault="007F04EE">
            <w:pPr>
              <w:widowControl w:val="0"/>
              <w:numPr>
                <w:ilvl w:val="0"/>
                <w:numId w:val="6"/>
              </w:numPr>
              <w:spacing w:after="0"/>
            </w:pPr>
            <w:r>
              <w:t>provide an evaluation of the long-term future of the SWPO swordfish stock status under a range of future catch projections including status quo, fully caught limits, and maximum historic catch scenarios (paragraph 481, WCPFC16 Report). Additional scenarios for projecting on fishing effort were also requested by SC17.</w:t>
            </w:r>
          </w:p>
          <w:p w:rsidR="0072721E" w:rsidRDefault="007F04EE">
            <w:pPr>
              <w:widowControl w:val="0"/>
              <w:numPr>
                <w:ilvl w:val="0"/>
                <w:numId w:val="6"/>
              </w:numPr>
              <w:spacing w:after="0"/>
            </w:pPr>
            <w:r>
              <w:t>consider a review of possible measures and options relevant to the management of swordfish taken as bycatch in longline fisheries (paragraph 482, WCPFC16 Report). The review may include information from available research and literature, logbook and observer data.</w:t>
            </w:r>
          </w:p>
          <w:p w:rsidR="0072721E" w:rsidRDefault="0072721E">
            <w:pPr>
              <w:widowControl w:val="0"/>
              <w:spacing w:after="0"/>
              <w:ind w:left="0"/>
            </w:pPr>
          </w:p>
          <w:p w:rsidR="0072721E" w:rsidRDefault="007F04EE">
            <w:pPr>
              <w:widowControl w:val="0"/>
              <w:spacing w:after="0"/>
              <w:ind w:left="0"/>
            </w:pPr>
            <w:r>
              <w:t xml:space="preserve">A new stock assessment for southwest Pacific Ocean (SWPO) swordfish was completed in 2021 (Ducharme-Barth et al 2021) and indicated that this stock is not currently overfished or undergoing overfishing, according to the benchmarks established by the WCPFC for tuna species. </w:t>
            </w:r>
          </w:p>
          <w:p w:rsidR="0072721E" w:rsidRDefault="0072721E">
            <w:pPr>
              <w:widowControl w:val="0"/>
              <w:spacing w:after="0"/>
              <w:ind w:left="0"/>
            </w:pPr>
          </w:p>
          <w:p w:rsidR="0072721E" w:rsidRDefault="007F04EE">
            <w:pPr>
              <w:widowControl w:val="0"/>
              <w:spacing w:after="0"/>
              <w:ind w:left="0"/>
            </w:pPr>
            <w:r>
              <w:t>When this stock assessment was reviewed by SC17, this committee noted the outcomes of the assessment are, on average, more optimistic in relation to the 2017 stock assessment, but the estimated uncertainty (relating to the reliability of CPUE indices, longitudinal movements, spatial connectivity and absolute population size) has increased (paragraph 222, SC17 Summary Report). These uncertainties suggest additional caution may be appropriate when interpreting the current assessment outcomes to guide management decisions.</w:t>
            </w:r>
          </w:p>
          <w:p w:rsidR="0072721E" w:rsidRDefault="0072721E">
            <w:pPr>
              <w:widowControl w:val="0"/>
              <w:spacing w:after="0"/>
              <w:ind w:left="0"/>
            </w:pPr>
          </w:p>
          <w:p w:rsidR="0072721E" w:rsidRDefault="007F04EE">
            <w:pPr>
              <w:widowControl w:val="0"/>
              <w:spacing w:after="0"/>
              <w:ind w:left="0"/>
            </w:pPr>
            <w:r>
              <w:t xml:space="preserve">SC17 also raised concerns over the implications of recent levels of catch for the long-term trajectory of the SWPO swordfish stock. These concerns renewed interest in conducting stochastic stock projections based on the 2021 stock assessment. The results of stochastic stock projections for SWPO swordfish are described in the paper </w:t>
            </w:r>
            <w:hyperlink r:id="rId101">
              <w:r>
                <w:rPr>
                  <w:color w:val="1155CC"/>
                  <w:u w:val="single"/>
                </w:rPr>
                <w:t>WCPFC18-2021-20</w:t>
              </w:r>
            </w:hyperlink>
            <w:r>
              <w:t xml:space="preserve"> and are summarised in the section </w:t>
            </w:r>
            <w:r>
              <w:rPr>
                <w:i/>
              </w:rPr>
              <w:t>7.5.1 - Future projections as requested by WCPFC16 (for SW Pacific swordfish)</w:t>
            </w:r>
            <w:r>
              <w:t>. These stock projections show that:</w:t>
            </w:r>
          </w:p>
          <w:p w:rsidR="0072721E" w:rsidRDefault="007F04EE">
            <w:pPr>
              <w:widowControl w:val="0"/>
              <w:numPr>
                <w:ilvl w:val="0"/>
                <w:numId w:val="59"/>
              </w:numPr>
              <w:spacing w:after="0"/>
            </w:pPr>
            <w:r>
              <w:t>projections that maintained the status quo catch levels tended to result in the stock being maintained at similar to, or slightly less, depleted levels than at the starting year of 2019, both at the 10 year and terminal (30) year stage of the projections.</w:t>
            </w:r>
          </w:p>
          <w:p w:rsidR="0072721E" w:rsidRDefault="007F04EE">
            <w:pPr>
              <w:widowControl w:val="0"/>
              <w:numPr>
                <w:ilvl w:val="0"/>
                <w:numId w:val="59"/>
              </w:numPr>
              <w:spacing w:after="0"/>
            </w:pPr>
            <w:r>
              <w:t>increases of 20-30% in catch above the 2016-18 baselines levels had a moderate impact on median terminal stock status compared to status quo, with 22-30% of models breaching the benchmarks for overfishing or overfished status applied to tuna by the WCPFC.</w:t>
            </w:r>
          </w:p>
          <w:p w:rsidR="0072721E" w:rsidRDefault="007F04EE">
            <w:pPr>
              <w:widowControl w:val="0"/>
              <w:numPr>
                <w:ilvl w:val="0"/>
                <w:numId w:val="59"/>
              </w:numPr>
              <w:spacing w:after="0"/>
            </w:pPr>
            <w:r>
              <w:t>under the two high catch scenarios the stock became considerably more depleted (to 10-18% of unfished spawning biomass levels after 30 years), with a relatively high number of projections that resulted in the stock crashing after only 10 years.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last two stock projection findings (provided above in the Background section) are problematic given SC17 noted that the current measure (CMM 2009-03) for SWPO swordfish does not contain provisions to limit total fishing mortality on the stock and emphasised the continued importance of WCPFC to develop a revised and strengthened CMM that will ensure the ongoing future sustainability of the SWPO swordfish (paragraph 226, SC17 Summary Report). </w:t>
            </w:r>
          </w:p>
          <w:p w:rsidR="0072721E" w:rsidRDefault="0072721E">
            <w:pPr>
              <w:widowControl w:val="0"/>
              <w:spacing w:after="0"/>
              <w:ind w:left="0"/>
            </w:pPr>
          </w:p>
          <w:p w:rsidR="0072721E" w:rsidRDefault="007F04EE">
            <w:pPr>
              <w:widowControl w:val="0"/>
              <w:spacing w:after="0"/>
              <w:ind w:left="0"/>
            </w:pPr>
            <w:r>
              <w:t xml:space="preserve">At the recent Management Options Consultations workshop (MOC) on 27 October 2021, Australia sought input from other FFA members into the draft measure it is developing, either bilaterally or in a working group. Australia plans to update this draft measure to reflect the results of stochastic stock projections for SWPO swordfish described in the paper </w:t>
            </w:r>
            <w:hyperlink r:id="rId102">
              <w:r>
                <w:rPr>
                  <w:color w:val="1155CC"/>
                  <w:u w:val="single"/>
                </w:rPr>
                <w:t>WCPFC18-2021-20</w:t>
              </w:r>
            </w:hyperlink>
            <w:r>
              <w:t xml:space="preserve">, additional projections runs to be presented for consideration at WCPFC18 (i.e. no change to recent catch and effort levels; and 10% and 20% reduction in total swordfish catch) and comments received at the recent MOC. This draft measure will be progressed over the next year with a final FFA position to be presented at MOC in 2022 and hopefully negotiated at WCPFC19. </w:t>
            </w:r>
          </w:p>
          <w:p w:rsidR="0072721E" w:rsidRDefault="0072721E">
            <w:pPr>
              <w:widowControl w:val="0"/>
              <w:spacing w:after="0"/>
              <w:ind w:left="0"/>
            </w:pPr>
          </w:p>
          <w:p w:rsidR="0072721E" w:rsidRDefault="007F04EE">
            <w:pPr>
              <w:widowControl w:val="0"/>
              <w:spacing w:after="0"/>
              <w:ind w:left="0"/>
            </w:pPr>
            <w:r>
              <w:t>Some of the comments received by FFA members at MOC on 27 October 2021 that should be considered in the draft measure include:</w:t>
            </w:r>
          </w:p>
          <w:p w:rsidR="0072721E" w:rsidRDefault="007F04EE">
            <w:pPr>
              <w:widowControl w:val="0"/>
              <w:numPr>
                <w:ilvl w:val="0"/>
                <w:numId w:val="45"/>
              </w:numPr>
              <w:spacing w:after="0"/>
            </w:pPr>
            <w:r>
              <w:t xml:space="preserve">projection results were relatively optimistic and do not suggest strong management action is warranted however a cautious approach to the status quo catch may be warranted. </w:t>
            </w:r>
          </w:p>
          <w:p w:rsidR="0072721E" w:rsidRDefault="007F04EE">
            <w:pPr>
              <w:widowControl w:val="0"/>
              <w:numPr>
                <w:ilvl w:val="0"/>
                <w:numId w:val="45"/>
              </w:numPr>
              <w:spacing w:after="0"/>
            </w:pPr>
            <w:r>
              <w:t>that the measure should focus on controlling fishing mortality by those fleets responsible for the majority of catch, being high seas fleets and fleets in EEZs targeting swordfish.</w:t>
            </w:r>
          </w:p>
          <w:p w:rsidR="0072721E" w:rsidRDefault="007F04EE">
            <w:pPr>
              <w:widowControl w:val="0"/>
              <w:numPr>
                <w:ilvl w:val="0"/>
                <w:numId w:val="45"/>
              </w:numPr>
              <w:spacing w:after="0"/>
            </w:pPr>
            <w:r>
              <w:t>belief by some members that for a ‘non-key’ target stock like swordfish, the limit reference point of 20% provided in the draft measure is premature and requires more discussion.</w:t>
            </w:r>
          </w:p>
          <w:p w:rsidR="0072721E" w:rsidRDefault="007F04EE">
            <w:pPr>
              <w:widowControl w:val="0"/>
              <w:numPr>
                <w:ilvl w:val="0"/>
                <w:numId w:val="45"/>
              </w:numPr>
              <w:spacing w:after="0"/>
            </w:pPr>
            <w:r>
              <w:t>filling in the large gaps in the monitoring control and surveillance measures for the longline fleet.</w:t>
            </w:r>
          </w:p>
          <w:p w:rsidR="0072721E" w:rsidRDefault="007F04EE">
            <w:pPr>
              <w:widowControl w:val="0"/>
              <w:numPr>
                <w:ilvl w:val="0"/>
                <w:numId w:val="45"/>
              </w:numPr>
              <w:spacing w:after="0"/>
            </w:pPr>
            <w:r>
              <w:t>consideration for more effective by-catch implementation measures (such as  a 3 month seasonal ban on the use of light sticks).</w:t>
            </w:r>
          </w:p>
          <w:p w:rsidR="0072721E" w:rsidRDefault="007F04EE">
            <w:pPr>
              <w:widowControl w:val="0"/>
              <w:numPr>
                <w:ilvl w:val="0"/>
                <w:numId w:val="45"/>
              </w:numPr>
              <w:spacing w:after="0"/>
            </w:pPr>
            <w:r>
              <w:t>a need to consider information on the use of different fishing gears on the stock (from SC16 and SC17 papers by Australia) and how they can be applied in the measure going forward.</w:t>
            </w:r>
          </w:p>
          <w:p w:rsidR="0072721E" w:rsidRDefault="0072721E">
            <w:pPr>
              <w:widowControl w:val="0"/>
              <w:spacing w:after="0"/>
              <w:ind w:left="0"/>
            </w:pPr>
          </w:p>
          <w:p w:rsidR="0072721E" w:rsidRDefault="007F04EE">
            <w:pPr>
              <w:widowControl w:val="0"/>
              <w:spacing w:after="0"/>
              <w:ind w:left="0"/>
            </w:pPr>
            <w:r>
              <w:t xml:space="preserve">When this measure is reviewed, there are likely to be competing views at the Commission meeting. On the one hand there are some FFA members supporting a strengthened CMM that includes provisions to limit total fishing mortality on the stock that will ensure the ongoing future sustainability of the SWPO swordfish, future fishery development opportunities for FFA SIDS, and ongoing economic viability of current FFA fisheries targeting this stock. On the other hand, the EU is anxious to avoid or delay any restrictions on their Spanish high seas fleet for which SWPO swordfish is a key target species. The catch of the latter is, on average, four times greater than the combined catch in all EEZs (see </w:t>
            </w:r>
            <w:hyperlink r:id="rId103">
              <w:r>
                <w:rPr>
                  <w:color w:val="1155CC"/>
                  <w:u w:val="single"/>
                </w:rPr>
                <w:t>SC17-MI-IP-12</w:t>
              </w:r>
            </w:hyperlink>
            <w:r>
              <w:t>).</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It is recommended that FFA members:</w:t>
            </w:r>
          </w:p>
          <w:p w:rsidR="0072721E" w:rsidRDefault="007F04EE">
            <w:pPr>
              <w:widowControl w:val="0"/>
              <w:numPr>
                <w:ilvl w:val="0"/>
                <w:numId w:val="28"/>
              </w:numPr>
              <w:spacing w:after="0"/>
            </w:pPr>
            <w:r>
              <w:t>note concerns raised by SC17 over the implications of recent levels of catch for the long-term trajectory of the SWPO swordfish stock.</w:t>
            </w:r>
          </w:p>
          <w:p w:rsidR="0072721E" w:rsidRDefault="007F04EE">
            <w:pPr>
              <w:widowControl w:val="0"/>
              <w:numPr>
                <w:ilvl w:val="0"/>
                <w:numId w:val="28"/>
              </w:numPr>
              <w:spacing w:after="0"/>
            </w:pPr>
            <w:bookmarkStart w:id="39" w:name="_lmdzkmb532wd" w:colFirst="0" w:colLast="0"/>
            <w:bookmarkEnd w:id="39"/>
            <w:r>
              <w:t>note the current measure for SWPO swordfish does not contain provisions to limit total fishing mortality on the stock, putting at risk the ongoing future sustainability of the SWPO swordfish, future fishery development opportunities for FFA SIDS, and ongoing economic viability of current FFA fisheries targeting this stock.</w:t>
            </w:r>
          </w:p>
          <w:p w:rsidR="0072721E" w:rsidRDefault="007F04EE">
            <w:pPr>
              <w:widowControl w:val="0"/>
              <w:numPr>
                <w:ilvl w:val="0"/>
                <w:numId w:val="28"/>
              </w:numPr>
              <w:spacing w:after="0"/>
            </w:pPr>
            <w:bookmarkStart w:id="40" w:name="_4a82irnuk29m" w:colFirst="0" w:colLast="0"/>
            <w:bookmarkEnd w:id="40"/>
            <w:r>
              <w:t>note projections that show that a 20-30% increase in catch above the 2016-18 baselines levels had a moderate impact on terminal stock status.</w:t>
            </w:r>
          </w:p>
          <w:p w:rsidR="0072721E" w:rsidRDefault="007F04EE">
            <w:pPr>
              <w:widowControl w:val="0"/>
              <w:numPr>
                <w:ilvl w:val="0"/>
                <w:numId w:val="28"/>
              </w:numPr>
              <w:spacing w:after="0"/>
            </w:pPr>
            <w:bookmarkStart w:id="41" w:name="_sdaq077alkzn" w:colFirst="0" w:colLast="0"/>
            <w:bookmarkEnd w:id="41"/>
            <w:r>
              <w:t xml:space="preserve">note that SC17 has emphasised the importance of WCPFC developing a revised and strengthened CMM that will ensure the ongoing future sustainability of the SWPO swordfish. </w:t>
            </w:r>
          </w:p>
          <w:p w:rsidR="0072721E" w:rsidRDefault="007F04EE">
            <w:pPr>
              <w:widowControl w:val="0"/>
              <w:numPr>
                <w:ilvl w:val="0"/>
                <w:numId w:val="28"/>
              </w:numPr>
              <w:spacing w:after="0"/>
            </w:pPr>
            <w:bookmarkStart w:id="42" w:name="_cigm4z9ubgb2" w:colFirst="0" w:colLast="0"/>
            <w:bookmarkEnd w:id="42"/>
            <w:r>
              <w:t>note CCMs such as the EU wanting to delay any restrictions to this measure so they can continue to exploit (and potentially expand catches for) this species on the high seas.</w:t>
            </w:r>
          </w:p>
          <w:p w:rsidR="0072721E" w:rsidRDefault="007F04EE">
            <w:pPr>
              <w:widowControl w:val="0"/>
              <w:numPr>
                <w:ilvl w:val="0"/>
                <w:numId w:val="28"/>
              </w:numPr>
              <w:spacing w:after="0"/>
            </w:pPr>
            <w:bookmarkStart w:id="43" w:name="_o4xwd8s5w5se" w:colFirst="0" w:colLast="0"/>
            <w:bookmarkEnd w:id="43"/>
            <w:r>
              <w:t>provide input to Australia to help develop the draft measure, with the aim to socialise with the broader WCPFC membership in late 2021-early 2022 and negotiate the measure at WCPFC19.</w:t>
            </w:r>
          </w:p>
          <w:p w:rsidR="0072721E" w:rsidRDefault="007F04EE">
            <w:pPr>
              <w:widowControl w:val="0"/>
              <w:numPr>
                <w:ilvl w:val="0"/>
                <w:numId w:val="28"/>
              </w:numPr>
              <w:spacing w:after="0"/>
            </w:pPr>
            <w:bookmarkStart w:id="44" w:name="_q6nstq5qdvj" w:colFirst="0" w:colLast="0"/>
            <w:bookmarkEnd w:id="44"/>
            <w:r>
              <w:t>support 3 key research streams needed to reduce uncertainty in future assessments:</w:t>
            </w:r>
          </w:p>
          <w:p w:rsidR="0072721E" w:rsidRDefault="007F04EE">
            <w:pPr>
              <w:widowControl w:val="0"/>
              <w:numPr>
                <w:ilvl w:val="1"/>
                <w:numId w:val="28"/>
              </w:numPr>
              <w:spacing w:after="0"/>
            </w:pPr>
            <w:bookmarkStart w:id="45" w:name="_hrvbjd91dbt0" w:colFirst="0" w:colLast="0"/>
            <w:bookmarkEnd w:id="45"/>
            <w:r>
              <w:t>directed longitudinal tagging of swordfish to reduce the uncertainty in movement rates and a feasibility study to explore applying Close Kin Mark Recapture techniques.</w:t>
            </w:r>
          </w:p>
          <w:p w:rsidR="0072721E" w:rsidRDefault="007F04EE">
            <w:pPr>
              <w:widowControl w:val="0"/>
              <w:numPr>
                <w:ilvl w:val="1"/>
                <w:numId w:val="28"/>
              </w:numPr>
              <w:spacing w:after="0"/>
            </w:pPr>
            <w:bookmarkStart w:id="46" w:name="_cbq1dqsuv9cf" w:colFirst="0" w:colLast="0"/>
            <w:bookmarkEnd w:id="46"/>
            <w:r>
              <w:t>sampling plan for the collection of fisheries dependent biological samples.</w:t>
            </w:r>
          </w:p>
          <w:p w:rsidR="0072721E" w:rsidRDefault="007F04EE">
            <w:pPr>
              <w:widowControl w:val="0"/>
              <w:numPr>
                <w:ilvl w:val="1"/>
                <w:numId w:val="28"/>
              </w:numPr>
              <w:spacing w:after="0"/>
            </w:pPr>
            <w:bookmarkStart w:id="47" w:name="_wx9yruh7ji5p" w:colFirst="0" w:colLast="0"/>
            <w:bookmarkEnd w:id="47"/>
            <w:r>
              <w:t>expansion of minimum reporting requirements for longline operational characteristics.</w:t>
            </w:r>
          </w:p>
        </w:tc>
      </w:tr>
    </w:tbl>
    <w:p w:rsidR="0072721E" w:rsidRDefault="0072721E">
      <w:pPr>
        <w:ind w:left="0"/>
      </w:pPr>
    </w:p>
    <w:p w:rsidR="0072721E" w:rsidRDefault="0072721E">
      <w:pPr>
        <w:ind w:left="0"/>
      </w:pPr>
    </w:p>
    <w:tbl>
      <w:tblPr>
        <w:tblStyle w:val="afb"/>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D9EAD3"/>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F4CCCC"/>
            <w:tcMar>
              <w:top w:w="100" w:type="dxa"/>
              <w:left w:w="100" w:type="dxa"/>
              <w:bottom w:w="100" w:type="dxa"/>
              <w:right w:w="100" w:type="dxa"/>
            </w:tcMar>
          </w:tcPr>
          <w:p w:rsidR="0072721E" w:rsidRDefault="0072721E">
            <w:pPr>
              <w:widowControl w:val="0"/>
              <w:spacing w:after="0"/>
              <w:ind w:left="0"/>
            </w:pP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D9EAD3"/>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D9EAD3"/>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D9EAD3"/>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D9EAD3"/>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D9EAD3"/>
            <w:tcMar>
              <w:top w:w="100" w:type="dxa"/>
              <w:left w:w="100" w:type="dxa"/>
              <w:bottom w:w="100" w:type="dxa"/>
              <w:right w:w="100" w:type="dxa"/>
            </w:tcMar>
          </w:tcPr>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FCE5CD"/>
            <w:tcMar>
              <w:top w:w="100" w:type="dxa"/>
              <w:left w:w="100" w:type="dxa"/>
              <w:bottom w:w="100" w:type="dxa"/>
              <w:right w:w="100" w:type="dxa"/>
            </w:tcMar>
          </w:tcPr>
          <w:p w:rsidR="0072721E" w:rsidRDefault="0072721E">
            <w:pPr>
              <w:widowControl w:val="0"/>
              <w:spacing w:after="0"/>
              <w:ind w:left="0"/>
            </w:pPr>
          </w:p>
        </w:tc>
      </w:tr>
    </w:tbl>
    <w:p w:rsidR="0072721E" w:rsidRDefault="0072721E">
      <w:pPr>
        <w:ind w:left="0"/>
      </w:pPr>
    </w:p>
    <w:p w:rsidR="0072721E" w:rsidRDefault="0072721E">
      <w:pPr>
        <w:pStyle w:val="Heading1"/>
        <w:spacing w:after="200"/>
        <w:jc w:val="both"/>
        <w:rPr>
          <w:highlight w:val="yellow"/>
        </w:rPr>
      </w:pPr>
    </w:p>
    <w:p w:rsidR="0072721E" w:rsidRDefault="007F04EE">
      <w:pPr>
        <w:pStyle w:val="Heading1"/>
        <w:jc w:val="both"/>
      </w:pPr>
      <w:bookmarkStart w:id="48" w:name="_1egqt2p" w:colFirst="0" w:colLast="0"/>
      <w:bookmarkEnd w:id="48"/>
      <w:r>
        <w:t>AGENDA ITEM 8</w:t>
      </w:r>
      <w:r>
        <w:tab/>
        <w:t>HARVEST STRATEGY</w:t>
      </w:r>
    </w:p>
    <w:p w:rsidR="0072721E" w:rsidRDefault="0072721E">
      <w:pPr>
        <w:ind w:left="0"/>
        <w:rPr>
          <w:b/>
          <w:sz w:val="28"/>
          <w:szCs w:val="28"/>
        </w:rPr>
      </w:pPr>
    </w:p>
    <w:tbl>
      <w:tblPr>
        <w:tblStyle w:val="afc"/>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jc w:val="left"/>
            </w:pPr>
            <w:hyperlink r:id="rId104">
              <w:r>
                <w:rPr>
                  <w:color w:val="0000EE"/>
                  <w:u w:val="single"/>
                </w:rPr>
                <w:t>Lianos Triantafillos</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jc w:val="left"/>
            </w:pPr>
            <w:bookmarkStart w:id="49" w:name="_7nj8xet5l9os" w:colFirst="0" w:colLast="0"/>
            <w:bookmarkEnd w:id="49"/>
            <w:r>
              <w:t>8.1 Review of Indicative Work Plan</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As required, the Commission is to review and update the Indicative Harvest Strategy Work Plan under CMM 2014-06 for 2022 and onward years.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05">
              <w:r>
                <w:rPr>
                  <w:color w:val="1155CC"/>
                  <w:u w:val="single"/>
                </w:rPr>
                <w:t>WCPFC18-2021-SC17 - SC17 Summary Report for adoption on 11 Nov 2021</w:t>
              </w:r>
            </w:hyperlink>
          </w:p>
          <w:p w:rsidR="0072721E" w:rsidRDefault="0072721E">
            <w:pPr>
              <w:widowControl w:val="0"/>
              <w:spacing w:after="0"/>
              <w:ind w:left="0"/>
            </w:pPr>
          </w:p>
          <w:p w:rsidR="0072721E" w:rsidRDefault="007F04EE">
            <w:pPr>
              <w:widowControl w:val="0"/>
              <w:spacing w:after="0"/>
              <w:ind w:left="0"/>
            </w:pPr>
            <w:hyperlink r:id="rId106">
              <w:r>
                <w:rPr>
                  <w:color w:val="1155CC"/>
                  <w:u w:val="single"/>
                </w:rPr>
                <w:t>WCPFC18-2021-10 - Further updates to WCPO skipjack tuna projected stock status to inform consideration of an updated target reference point.</w:t>
              </w:r>
            </w:hyperlink>
          </w:p>
          <w:p w:rsidR="0072721E" w:rsidRDefault="007F04EE">
            <w:pPr>
              <w:widowControl w:val="0"/>
              <w:spacing w:after="0"/>
              <w:ind w:left="0"/>
            </w:pPr>
            <w:hyperlink r:id="rId107">
              <w:r>
                <w:rPr>
                  <w:color w:val="1155CC"/>
                  <w:u w:val="single"/>
                </w:rPr>
                <w:t>WCPFC18-2021-11</w:t>
              </w:r>
            </w:hyperlink>
            <w:hyperlink r:id="rId108">
              <w:r>
                <w:rPr>
                  <w:color w:val="1155CC"/>
                  <w:u w:val="single"/>
                </w:rPr>
                <w:t xml:space="preserve"> - Updated WCPO bigeye and yellowfin TRP evaluations</w:t>
              </w:r>
            </w:hyperlink>
          </w:p>
          <w:p w:rsidR="0072721E" w:rsidRDefault="007F04EE">
            <w:pPr>
              <w:widowControl w:val="0"/>
              <w:spacing w:after="0"/>
              <w:ind w:left="0"/>
            </w:pPr>
            <w:hyperlink r:id="rId109">
              <w:r>
                <w:rPr>
                  <w:color w:val="1155CC"/>
                  <w:u w:val="single"/>
                </w:rPr>
                <w:t>WCPFC18-2021-12 - Recent progress in the technical development of harvest strategies for WCPFC stocks and fisheries (SC17-MI-WP-03)</w:t>
              </w:r>
            </w:hyperlink>
          </w:p>
          <w:p w:rsidR="0072721E" w:rsidRDefault="007F04EE">
            <w:pPr>
              <w:widowControl w:val="0"/>
              <w:spacing w:after="0"/>
              <w:ind w:left="0"/>
            </w:pPr>
            <w:hyperlink r:id="rId110">
              <w:r>
                <w:rPr>
                  <w:color w:val="1155CC"/>
                  <w:u w:val="single"/>
                </w:rPr>
                <w:t>WCPFC18-2021-13 - Evaluations of candidate management procedures for skipjack tuna in the WCPO (SC17-MI-WP-04)</w:t>
              </w:r>
            </w:hyperlink>
          </w:p>
          <w:p w:rsidR="0072721E" w:rsidRDefault="007F04EE">
            <w:pPr>
              <w:widowControl w:val="0"/>
              <w:spacing w:after="0"/>
              <w:ind w:left="0"/>
            </w:pPr>
            <w:hyperlink r:id="rId111">
              <w:r>
                <w:rPr>
                  <w:color w:val="1155CC"/>
                  <w:u w:val="single"/>
                </w:rPr>
                <w:t>WCPFC18-2021-18 -Reference document for bigeye, yellowfin and skipjack tuna for the review of CMM 2020-21 and development of harvest strategies under CMM 2014-06</w:t>
              </w:r>
            </w:hyperlink>
          </w:p>
          <w:p w:rsidR="0072721E" w:rsidRDefault="007F04EE">
            <w:pPr>
              <w:widowControl w:val="0"/>
              <w:spacing w:after="0"/>
              <w:ind w:left="0"/>
            </w:pPr>
            <w:hyperlink r:id="rId112">
              <w:r>
                <w:rPr>
                  <w:color w:val="1155CC"/>
                  <w:u w:val="single"/>
                </w:rPr>
                <w:t>WCPFC18-2021-23 - Reference document on the progress of the Harvest Strategy Work Plan under CMM 2014-06</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overall progress of the revised Indicative Harvest Strategy Work Plan (outlined in Attachment A of the paper </w:t>
            </w:r>
            <w:hyperlink r:id="rId113">
              <w:r>
                <w:rPr>
                  <w:color w:val="1155CC"/>
                  <w:u w:val="single"/>
                </w:rPr>
                <w:t>WCPFC18-2021-23</w:t>
              </w:r>
            </w:hyperlink>
            <w:r>
              <w:t xml:space="preserve">) was reviewed by SC17 in August 2021. In their review, SC17 noted the development of single-species evaluation frameworks is broadly keeping pace with the Harvest Strategy Work Plan and the current deadlines for adoption of management procedures for skipjack tuna and South Pacific albacore remain technically feasible. Full development of the mixed fishery framework, however, is expected to take longer. </w:t>
            </w:r>
          </w:p>
          <w:p w:rsidR="0072721E" w:rsidRDefault="0072721E">
            <w:pPr>
              <w:widowControl w:val="0"/>
              <w:spacing w:after="0"/>
              <w:ind w:left="0"/>
            </w:pPr>
          </w:p>
          <w:p w:rsidR="0072721E" w:rsidRDefault="007F04EE">
            <w:pPr>
              <w:widowControl w:val="0"/>
              <w:spacing w:after="0"/>
              <w:ind w:left="0"/>
            </w:pPr>
            <w:r>
              <w:t>In addition, despite noting that the current timeline for completing the development of  harvest strategies across the four key tuna stocks remains ambitious, SC17 endorsed the work outlined in the current work plan and recommended that the Commission take note of this work and provide advice on the following issues to progress it (paragraph 294, SC Summary Report):</w:t>
            </w:r>
          </w:p>
          <w:p w:rsidR="0072721E" w:rsidRDefault="007F04EE">
            <w:pPr>
              <w:widowControl w:val="0"/>
              <w:numPr>
                <w:ilvl w:val="0"/>
                <w:numId w:val="48"/>
              </w:numPr>
              <w:spacing w:after="0"/>
            </w:pPr>
            <w:r>
              <w:t>Definition of fisheries and fishery controls within the harvest strategy.</w:t>
            </w:r>
          </w:p>
          <w:p w:rsidR="0072721E" w:rsidRDefault="007F04EE">
            <w:pPr>
              <w:widowControl w:val="0"/>
              <w:numPr>
                <w:ilvl w:val="0"/>
                <w:numId w:val="48"/>
              </w:numPr>
              <w:spacing w:after="0"/>
            </w:pPr>
            <w:r>
              <w:t>Procedures for identifying, selecting, and implementing the ‘best’ management procedure (MP).</w:t>
            </w:r>
          </w:p>
          <w:p w:rsidR="0072721E" w:rsidRDefault="0072721E">
            <w:pPr>
              <w:widowControl w:val="0"/>
              <w:spacing w:after="0"/>
              <w:ind w:left="0"/>
            </w:pPr>
          </w:p>
          <w:p w:rsidR="0072721E" w:rsidRDefault="007F04EE">
            <w:pPr>
              <w:widowControl w:val="0"/>
              <w:spacing w:after="0"/>
              <w:ind w:left="0"/>
            </w:pPr>
            <w:r>
              <w:t>SC17 noted that while substantial progress has been made on the technical work to support harvest strategies according to the work plan, the work plan does not currently extend beyond 2022 and that it will require amendment to encompass future technical work and decision making, particularly on bigeye tuna, yellowfin tuna and the multispecies framework. Toward this end, SC17 noted Australia’s intention to again take a leading role in amending the Harvest Strategy Work Plan to reflect decisions made, progress to date, and to cover the work and decisions for years 2023 and beyond for the consideration of the Commission this year (paragraph 330, SC Summary Report).</w:t>
            </w:r>
          </w:p>
          <w:p w:rsidR="0072721E" w:rsidRDefault="0072721E">
            <w:pPr>
              <w:widowControl w:val="0"/>
              <w:spacing w:after="0"/>
              <w:ind w:left="0"/>
            </w:pPr>
          </w:p>
          <w:p w:rsidR="0072721E" w:rsidRDefault="007F04EE">
            <w:pPr>
              <w:widowControl w:val="0"/>
              <w:spacing w:after="0"/>
              <w:ind w:left="0"/>
            </w:pPr>
            <w:r>
              <w:t xml:space="preserve">SC17 also noted that the funding support from New Zealand for the associated project (Pacific Tuna Management Strategy Evaluation) has been extended to the beginning of 2024.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WCPFC11 agreed to </w:t>
            </w:r>
            <w:r>
              <w:rPr>
                <w:i/>
              </w:rPr>
              <w:t xml:space="preserve">Conservation and Management Measures to develop and implement a harvest strategy approach for key fisheries and stocks in the WCPO </w:t>
            </w:r>
            <w:r>
              <w:t>(i.e. CMM 2014-06) in late 2014. The objective of CMM 2014-06 is ‘To agree that the Commission shall develop and implement a harvest strategy approach for each of the key fisheries or stocks under the purview of the Commission according to the process set out in CMM 2014-06.’ Pursuant to paragraph 13 of CMM 2014-06, WCPFC12 agreed a work plan for the Adoption of Harvest Strategies under CMM 2014-06 (i.e. the Harvest Strategy Work Plan).</w:t>
            </w:r>
          </w:p>
          <w:p w:rsidR="0072721E" w:rsidRDefault="0072721E">
            <w:pPr>
              <w:widowControl w:val="0"/>
              <w:spacing w:after="0"/>
              <w:ind w:left="0"/>
            </w:pPr>
          </w:p>
          <w:p w:rsidR="0072721E" w:rsidRDefault="007F04EE">
            <w:pPr>
              <w:widowControl w:val="0"/>
              <w:spacing w:after="0"/>
              <w:ind w:left="0"/>
            </w:pPr>
            <w:r>
              <w:t xml:space="preserve">The Harvest Strategy Work Plan set out a deliberately ambitious schedule of technical work and Commission decision-making for the development of harvest strategies across the four key tuna stocks. This work plan was always intended to be a living document and has been updated annually by the Commission to reflect actual progress, as well as other needs and developments. </w:t>
            </w:r>
          </w:p>
          <w:p w:rsidR="0072721E" w:rsidRDefault="0072721E">
            <w:pPr>
              <w:widowControl w:val="0"/>
              <w:spacing w:after="0"/>
              <w:ind w:left="0"/>
            </w:pPr>
          </w:p>
          <w:p w:rsidR="0072721E" w:rsidRDefault="007F04EE">
            <w:pPr>
              <w:spacing w:after="0"/>
              <w:ind w:left="0"/>
              <w:rPr>
                <w:rFonts w:ascii="Times New Roman" w:eastAsia="Times New Roman" w:hAnsi="Times New Roman" w:cs="Times New Roman"/>
                <w:sz w:val="24"/>
                <w:szCs w:val="24"/>
              </w:rPr>
            </w:pPr>
            <w:r>
              <w:t>Substantial technical progress towards the development of harvest strategies was made during 2020, specifically with regard to:</w:t>
            </w:r>
          </w:p>
          <w:p w:rsidR="0072721E" w:rsidRDefault="007F04EE">
            <w:pPr>
              <w:numPr>
                <w:ilvl w:val="0"/>
                <w:numId w:val="1"/>
              </w:numPr>
              <w:spacing w:after="0"/>
              <w:ind w:left="765"/>
            </w:pPr>
            <w:r>
              <w:t>the development of candidate harvest control rule (HCR) designs for both skipjack tuna and South Pacific albacore.</w:t>
            </w:r>
          </w:p>
          <w:p w:rsidR="0072721E" w:rsidRDefault="007F04EE">
            <w:pPr>
              <w:numPr>
                <w:ilvl w:val="0"/>
                <w:numId w:val="1"/>
              </w:numPr>
              <w:spacing w:after="0"/>
              <w:ind w:left="765"/>
            </w:pPr>
            <w:r>
              <w:t>development of an efficient estimation model for skipjack tuna.</w:t>
            </w:r>
          </w:p>
          <w:p w:rsidR="0072721E" w:rsidRDefault="007F04EE">
            <w:pPr>
              <w:numPr>
                <w:ilvl w:val="0"/>
                <w:numId w:val="1"/>
              </w:numPr>
              <w:spacing w:after="0"/>
              <w:ind w:left="765"/>
            </w:pPr>
            <w:r>
              <w:t>calculation of performance indicators for the skipjack tuna monitoring strategy.</w:t>
            </w:r>
          </w:p>
          <w:p w:rsidR="0072721E" w:rsidRDefault="007F04EE">
            <w:pPr>
              <w:numPr>
                <w:ilvl w:val="0"/>
                <w:numId w:val="1"/>
              </w:numPr>
              <w:spacing w:after="0"/>
              <w:ind w:left="765"/>
            </w:pPr>
            <w:r>
              <w:t>accounting for uncertainties in the management strategy evaluation (MSE) frameworks.</w:t>
            </w:r>
          </w:p>
          <w:p w:rsidR="0072721E" w:rsidRDefault="007F04EE">
            <w:pPr>
              <w:numPr>
                <w:ilvl w:val="0"/>
                <w:numId w:val="1"/>
              </w:numPr>
              <w:spacing w:after="0"/>
              <w:ind w:left="765"/>
            </w:pPr>
            <w:r>
              <w:t>communication of MSE results for decision makers.</w:t>
            </w:r>
          </w:p>
          <w:p w:rsidR="0072721E" w:rsidRDefault="0072721E">
            <w:pPr>
              <w:widowControl w:val="0"/>
              <w:spacing w:after="0"/>
              <w:ind w:left="0"/>
            </w:pPr>
          </w:p>
          <w:p w:rsidR="0072721E" w:rsidRDefault="007F04EE">
            <w:pPr>
              <w:widowControl w:val="0"/>
              <w:spacing w:after="0"/>
              <w:ind w:left="0"/>
            </w:pPr>
            <w:r>
              <w:t>However, SC16 was unable to discuss much of this work due to time restrictions of the online meeting format and some members feeling that they lacked a sufficient understanding of the topic to discuss these developments in detail. Due to the limited discussion of these issues, SC16 was unable to provide advice to WCPFC17 on a number of issues to guide the direction of further development of the harvest strategy approach.</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spacing w:after="0"/>
              <w:ind w:left="0"/>
              <w:rPr>
                <w:rFonts w:ascii="Times New Roman" w:eastAsia="Times New Roman" w:hAnsi="Times New Roman" w:cs="Times New Roman"/>
                <w:sz w:val="24"/>
                <w:szCs w:val="24"/>
              </w:rPr>
            </w:pPr>
            <w:r>
              <w:t>During WCPFC17, more members noted the need for further capacity building to better understand how harvest strategies function and their implications. In response to these concerns, the pace of development of the technical aspects of the evaluation framework has slowed in 2021 to allow greater focus on capacity building initiatives and to allow more time to review recent developments. This is particularly important as the Commission starts to consider the multi-species nature of the WCPO tuna fishery and how management procedures will interact.</w:t>
            </w:r>
          </w:p>
          <w:p w:rsidR="0072721E" w:rsidRDefault="0072721E">
            <w:pPr>
              <w:spacing w:after="0"/>
              <w:ind w:left="0"/>
              <w:rPr>
                <w:rFonts w:ascii="Times New Roman" w:eastAsia="Times New Roman" w:hAnsi="Times New Roman" w:cs="Times New Roman"/>
                <w:sz w:val="24"/>
                <w:szCs w:val="24"/>
              </w:rPr>
            </w:pPr>
          </w:p>
          <w:p w:rsidR="0072721E" w:rsidRDefault="007F04EE">
            <w:pPr>
              <w:spacing w:after="0"/>
              <w:ind w:left="0"/>
              <w:rPr>
                <w:rFonts w:ascii="Times New Roman" w:eastAsia="Times New Roman" w:hAnsi="Times New Roman" w:cs="Times New Roman"/>
                <w:sz w:val="24"/>
                <w:szCs w:val="24"/>
              </w:rPr>
            </w:pPr>
            <w:r>
              <w:t>Nonetheless, several technical areas have been progressed in 2021, including:</w:t>
            </w:r>
          </w:p>
          <w:p w:rsidR="0072721E" w:rsidRDefault="007F04EE">
            <w:pPr>
              <w:numPr>
                <w:ilvl w:val="0"/>
                <w:numId w:val="12"/>
              </w:numPr>
              <w:spacing w:after="0"/>
              <w:ind w:left="765"/>
            </w:pPr>
            <w:r>
              <w:t>initial evaluations of the mixed-fishery framework (</w:t>
            </w:r>
            <w:hyperlink r:id="rId114">
              <w:r>
                <w:rPr>
                  <w:color w:val="1155CC"/>
                  <w:u w:val="single"/>
                </w:rPr>
                <w:t>WCPFC-SC17/ MI-WP-05</w:t>
              </w:r>
            </w:hyperlink>
            <w:r>
              <w:t>).</w:t>
            </w:r>
          </w:p>
          <w:p w:rsidR="0072721E" w:rsidRDefault="007F04EE">
            <w:pPr>
              <w:numPr>
                <w:ilvl w:val="0"/>
                <w:numId w:val="12"/>
              </w:numPr>
              <w:spacing w:after="0"/>
              <w:ind w:left="765"/>
            </w:pPr>
            <w:r>
              <w:t>the simulation of CPUE data for South Pacific albacore tuna for input into candidate management procedures (</w:t>
            </w:r>
            <w:hyperlink r:id="rId115">
              <w:r>
                <w:rPr>
                  <w:color w:val="1155CC"/>
                  <w:u w:val="single"/>
                </w:rPr>
                <w:t>WCPFC-SC17/MI-IP-01</w:t>
              </w:r>
            </w:hyperlink>
            <w:r>
              <w:t>).</w:t>
            </w:r>
          </w:p>
          <w:p w:rsidR="0072721E" w:rsidRDefault="007F04EE">
            <w:pPr>
              <w:numPr>
                <w:ilvl w:val="0"/>
                <w:numId w:val="12"/>
              </w:numPr>
              <w:spacing w:after="0"/>
              <w:ind w:left="765"/>
            </w:pPr>
            <w:r>
              <w:t>fine-tuning the evaluation framework for skipjack tuna (</w:t>
            </w:r>
            <w:hyperlink r:id="rId116">
              <w:r>
                <w:rPr>
                  <w:color w:val="1155CC"/>
                  <w:u w:val="single"/>
                </w:rPr>
                <w:t>WCPFC-SC17 /MI-WP-04</w:t>
              </w:r>
            </w:hyperlink>
            <w:r>
              <w:t>).</w:t>
            </w:r>
          </w:p>
          <w:p w:rsidR="0072721E" w:rsidRDefault="0072721E">
            <w:pPr>
              <w:spacing w:after="0"/>
              <w:ind w:left="0"/>
              <w:rPr>
                <w:rFonts w:ascii="Times New Roman" w:eastAsia="Times New Roman" w:hAnsi="Times New Roman" w:cs="Times New Roman"/>
                <w:sz w:val="24"/>
                <w:szCs w:val="24"/>
              </w:rPr>
            </w:pPr>
          </w:p>
          <w:p w:rsidR="0072721E" w:rsidRDefault="007F04EE">
            <w:pPr>
              <w:spacing w:after="0"/>
              <w:ind w:left="0"/>
            </w:pPr>
            <w:r>
              <w:t xml:space="preserve">Under the current work plan, the Commission is scheduled to adopt management procedures for WCPO skipjack tuna and South Pacific albacore in 2022. The modelling and evaluation framework of the former is well advanced, with the only technical work needed is to finalise the outstanding elements of the robustness set of operating models. </w:t>
            </w:r>
          </w:p>
          <w:p w:rsidR="0072721E" w:rsidRDefault="0072721E">
            <w:pPr>
              <w:spacing w:after="0"/>
              <w:ind w:left="0"/>
            </w:pPr>
          </w:p>
          <w:p w:rsidR="0072721E" w:rsidRDefault="007F04EE">
            <w:pPr>
              <w:spacing w:after="0"/>
              <w:ind w:left="0"/>
            </w:pPr>
            <w:r>
              <w:t xml:space="preserve">To progress the development of harvest strategies for skipjack tuna, SC17 recommends that the Commission take note of the analyses outlined in </w:t>
            </w:r>
            <w:hyperlink r:id="rId117">
              <w:r>
                <w:rPr>
                  <w:color w:val="1155CC"/>
                  <w:u w:val="single"/>
                </w:rPr>
                <w:t>WCPFC18-2021-13</w:t>
              </w:r>
            </w:hyperlink>
            <w:r>
              <w:t xml:space="preserve"> and requests the Commission to provide advice on the following issues (paragraph 310, SC17 Summary Report):</w:t>
            </w:r>
          </w:p>
          <w:p w:rsidR="0072721E" w:rsidRDefault="007F04EE">
            <w:pPr>
              <w:numPr>
                <w:ilvl w:val="0"/>
                <w:numId w:val="38"/>
              </w:numPr>
              <w:spacing w:after="0"/>
            </w:pPr>
            <w:r>
              <w:t>Multispecies impacts on other tropical tuna related harvest strategies.</w:t>
            </w:r>
          </w:p>
          <w:p w:rsidR="0072721E" w:rsidRDefault="007F04EE">
            <w:pPr>
              <w:numPr>
                <w:ilvl w:val="0"/>
                <w:numId w:val="38"/>
              </w:numPr>
              <w:spacing w:after="0"/>
            </w:pPr>
            <w:r>
              <w:t>Definition of fisheries and fishery controls within the harvest strategy.</w:t>
            </w:r>
          </w:p>
          <w:p w:rsidR="0072721E" w:rsidRDefault="007F04EE">
            <w:pPr>
              <w:numPr>
                <w:ilvl w:val="0"/>
                <w:numId w:val="38"/>
              </w:numPr>
              <w:spacing w:after="0"/>
            </w:pPr>
            <w:r>
              <w:t>Input into candidate MP designs.</w:t>
            </w:r>
          </w:p>
          <w:p w:rsidR="0072721E" w:rsidRDefault="007F04EE">
            <w:pPr>
              <w:numPr>
                <w:ilvl w:val="0"/>
                <w:numId w:val="38"/>
              </w:numPr>
              <w:spacing w:after="0"/>
            </w:pPr>
            <w:r>
              <w:t>Feedback on presentational approaches to enhance decision making;</w:t>
            </w:r>
          </w:p>
          <w:p w:rsidR="0072721E" w:rsidRDefault="007F04EE">
            <w:pPr>
              <w:numPr>
                <w:ilvl w:val="0"/>
                <w:numId w:val="38"/>
              </w:numPr>
              <w:spacing w:after="0"/>
            </w:pPr>
            <w:r>
              <w:t>Procedures for selecting the ‘best performing’ MP.</w:t>
            </w:r>
          </w:p>
          <w:p w:rsidR="0072721E" w:rsidRDefault="0072721E">
            <w:pPr>
              <w:spacing w:after="0"/>
              <w:ind w:left="0"/>
            </w:pPr>
          </w:p>
          <w:p w:rsidR="0072721E" w:rsidRDefault="0072721E">
            <w:pPr>
              <w:spacing w:after="0"/>
              <w:ind w:left="0"/>
            </w:pPr>
          </w:p>
          <w:p w:rsidR="0072721E" w:rsidRDefault="007F04EE">
            <w:pPr>
              <w:spacing w:after="0"/>
              <w:ind w:left="0"/>
              <w:rPr>
                <w:rFonts w:ascii="Times New Roman" w:eastAsia="Times New Roman" w:hAnsi="Times New Roman" w:cs="Times New Roman"/>
                <w:sz w:val="24"/>
                <w:szCs w:val="24"/>
              </w:rPr>
            </w:pPr>
            <w:r>
              <w:t>For the other harvest strategies, a number of technical developments to the evaluation frameworks will be necessary to support members in meeting that deadline. Outstanding tasks for these harvest strategies include:</w:t>
            </w:r>
          </w:p>
          <w:p w:rsidR="0072721E" w:rsidRDefault="007F04EE">
            <w:pPr>
              <w:numPr>
                <w:ilvl w:val="0"/>
                <w:numId w:val="7"/>
              </w:numPr>
              <w:spacing w:after="0"/>
            </w:pPr>
            <w:r>
              <w:rPr>
                <w:b/>
              </w:rPr>
              <w:t>South Pacific albacore:</w:t>
            </w:r>
            <w:r>
              <w:t xml:space="preserve"> develop candidate model-based management procedures, noting it may be necessary to revisit the conditioning of the operating models in the light of the most recent assessment.</w:t>
            </w:r>
          </w:p>
          <w:p w:rsidR="0072721E" w:rsidRDefault="007F04EE">
            <w:pPr>
              <w:numPr>
                <w:ilvl w:val="0"/>
                <w:numId w:val="7"/>
              </w:numPr>
              <w:spacing w:after="0"/>
            </w:pPr>
            <w:r>
              <w:rPr>
                <w:b/>
              </w:rPr>
              <w:t>Bigeye and yellowfin tuna:</w:t>
            </w:r>
            <w:r>
              <w:t xml:space="preserve"> conditioning of operating models for both bigeye and yellowfin tuna; the development of candidate management procedures for bigeye tuna and the development of mixed fishery performance indicators. </w:t>
            </w:r>
          </w:p>
          <w:p w:rsidR="0072721E" w:rsidRDefault="0072721E">
            <w:pPr>
              <w:spacing w:after="0"/>
              <w:ind w:left="0"/>
            </w:pPr>
          </w:p>
          <w:p w:rsidR="0072721E" w:rsidRDefault="007F04EE">
            <w:pPr>
              <w:spacing w:after="0"/>
              <w:ind w:left="0"/>
              <w:rPr>
                <w:rFonts w:ascii="Times New Roman" w:eastAsia="Times New Roman" w:hAnsi="Times New Roman" w:cs="Times New Roman"/>
                <w:sz w:val="24"/>
                <w:szCs w:val="24"/>
              </w:rPr>
            </w:pPr>
            <w:r>
              <w:t xml:space="preserve">In some cases, these outstanding tasks represent a large amount of work. </w:t>
            </w:r>
          </w:p>
          <w:p w:rsidR="0072721E" w:rsidRDefault="0072721E">
            <w:pPr>
              <w:widowControl w:val="0"/>
              <w:spacing w:after="0"/>
              <w:ind w:left="0"/>
            </w:pPr>
          </w:p>
          <w:p w:rsidR="0072721E" w:rsidRDefault="007F04EE">
            <w:pPr>
              <w:widowControl w:val="0"/>
              <w:spacing w:after="0"/>
              <w:ind w:left="0"/>
            </w:pPr>
            <w:r>
              <w:t>While SC17 noted that the technical work by the Scientific Services Provider has generally kept pace with the Harvest Strategy Work Plan, it was also noted that capacity-building initiatives, as well as WCPFC consideration, engagement and decision-making has perhaps not kept pace. Greater input from WCPFC bodies in general, but particularly commissioners, managers and stakeholders, will be vital over the coming years to inform the testing of candidate management procedures for skipjack tuna and South Pacific albacore in the WCPO, and in the iterative process of their review and refinement prior to formal adoption (paragraph 331, SC17 Summary Report).</w:t>
            </w:r>
          </w:p>
          <w:p w:rsidR="0072721E" w:rsidRDefault="0072721E">
            <w:pPr>
              <w:widowControl w:val="0"/>
              <w:spacing w:after="0"/>
              <w:ind w:left="0"/>
            </w:pPr>
          </w:p>
          <w:p w:rsidR="0072721E" w:rsidRDefault="007F04EE">
            <w:pPr>
              <w:widowControl w:val="0"/>
              <w:spacing w:after="0"/>
              <w:ind w:left="0"/>
            </w:pPr>
            <w:r>
              <w:t>To help get such input, SC17 continued to encourage a focus on capacity building workshops, particularly for Small Islands Developing States (SIDS) and developing states, on understanding of harvest strategy functioning and implications. Building such capacity will assist all CCMs to participate fully in this complex process and have the confidence in the harvest strategy development process and its outcomes when implemented. It will also assist the effective participation of all CCMs in any future Science-Management Dialogue.</w:t>
            </w:r>
          </w:p>
          <w:p w:rsidR="0072721E" w:rsidRDefault="0072721E">
            <w:pPr>
              <w:widowControl w:val="0"/>
              <w:spacing w:after="0"/>
              <w:ind w:left="0"/>
            </w:pPr>
          </w:p>
          <w:p w:rsidR="0072721E" w:rsidRDefault="007F04EE">
            <w:pPr>
              <w:widowControl w:val="0"/>
              <w:spacing w:after="0"/>
              <w:ind w:left="0"/>
            </w:pPr>
            <w:r>
              <w:t xml:space="preserve">Noting the increasing number of issues that require the attention of, and feedback from, managers in order to progress the Harvest Strategy Work Plan, SC17 again reiterated its previous recommendations for a Science-Management Dialogue to be convened in 2022. </w:t>
            </w:r>
          </w:p>
          <w:p w:rsidR="0072721E" w:rsidRDefault="0072721E">
            <w:pPr>
              <w:widowControl w:val="0"/>
              <w:spacing w:after="0"/>
              <w:ind w:left="0"/>
            </w:pPr>
          </w:p>
          <w:p w:rsidR="0072721E" w:rsidRDefault="007F04EE">
            <w:pPr>
              <w:widowControl w:val="0"/>
              <w:spacing w:after="0"/>
              <w:ind w:left="0"/>
            </w:pPr>
            <w:r>
              <w:t>SC17 also recommended that greater priority should be given during 2022 to Harvest Strategy work within the Commission Work Plan.</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spacing w:after="0"/>
              <w:ind w:left="0"/>
              <w:rPr>
                <w:rFonts w:ascii="Times New Roman" w:eastAsia="Times New Roman" w:hAnsi="Times New Roman" w:cs="Times New Roman"/>
                <w:sz w:val="24"/>
                <w:szCs w:val="24"/>
              </w:rPr>
            </w:pPr>
            <w:r>
              <w:t>It is recommended that FFA Members:</w:t>
            </w:r>
          </w:p>
          <w:p w:rsidR="0072721E" w:rsidRDefault="007F04EE">
            <w:pPr>
              <w:numPr>
                <w:ilvl w:val="0"/>
                <w:numId w:val="66"/>
              </w:numPr>
              <w:spacing w:after="0"/>
            </w:pPr>
            <w:r>
              <w:t>note the progress of the WCPFC Harvest Strategy Work Plan.</w:t>
            </w:r>
          </w:p>
          <w:p w:rsidR="0072721E" w:rsidRDefault="007F04EE">
            <w:pPr>
              <w:numPr>
                <w:ilvl w:val="0"/>
                <w:numId w:val="66"/>
              </w:numPr>
              <w:spacing w:after="0"/>
            </w:pPr>
            <w:r>
              <w:t>provide input on the following issues:</w:t>
            </w:r>
          </w:p>
          <w:p w:rsidR="0072721E" w:rsidRDefault="007F04EE">
            <w:pPr>
              <w:numPr>
                <w:ilvl w:val="1"/>
                <w:numId w:val="66"/>
              </w:numPr>
              <w:spacing w:after="0"/>
              <w:ind w:left="1089" w:hanging="283"/>
            </w:pPr>
            <w:r>
              <w:t>advice on, and suggestions for, HCR designs for both skipjack tuna and South Pacific albacore.</w:t>
            </w:r>
          </w:p>
          <w:p w:rsidR="0072721E" w:rsidRDefault="007F04EE">
            <w:pPr>
              <w:numPr>
                <w:ilvl w:val="1"/>
                <w:numId w:val="66"/>
              </w:numPr>
              <w:spacing w:after="0"/>
              <w:ind w:left="1089" w:hanging="283"/>
            </w:pPr>
            <w:r>
              <w:t>feedback on web-based tools and the presentation of management strategy evaluation results to assist in decision making.</w:t>
            </w:r>
          </w:p>
          <w:p w:rsidR="0072721E" w:rsidRDefault="007F04EE">
            <w:pPr>
              <w:numPr>
                <w:ilvl w:val="1"/>
                <w:numId w:val="66"/>
              </w:numPr>
              <w:spacing w:after="0"/>
              <w:ind w:left="1089" w:hanging="283"/>
            </w:pPr>
            <w:r>
              <w:t>feedback on, and suggestions for, further developing communication, engagement and capacity building with respect to the technical development of the harvest strategy approach.</w:t>
            </w:r>
          </w:p>
          <w:p w:rsidR="0072721E" w:rsidRDefault="007F04EE">
            <w:pPr>
              <w:numPr>
                <w:ilvl w:val="0"/>
                <w:numId w:val="66"/>
              </w:numPr>
              <w:spacing w:after="0"/>
            </w:pPr>
            <w:r>
              <w:t>note that progress towards completing the mixed fishery framework will be enhanced by the agreement of TRPs for all species, which will facilitate the development of HCRs and mixed fishery performance indicators.</w:t>
            </w:r>
          </w:p>
          <w:p w:rsidR="0072721E" w:rsidRDefault="007F04EE">
            <w:pPr>
              <w:numPr>
                <w:ilvl w:val="0"/>
                <w:numId w:val="66"/>
              </w:numPr>
              <w:spacing w:after="0"/>
            </w:pPr>
            <w:r>
              <w:t xml:space="preserve">support the need for a Science-Management Dialogue during 2022 </w:t>
            </w:r>
          </w:p>
          <w:p w:rsidR="0072721E" w:rsidRDefault="007F04EE">
            <w:pPr>
              <w:numPr>
                <w:ilvl w:val="0"/>
                <w:numId w:val="66"/>
              </w:numPr>
              <w:spacing w:after="0"/>
            </w:pPr>
            <w:r>
              <w:t xml:space="preserve">note that in order to complete all the work provided in the revised Harvest Strategy Work Plan, this work plan will need to be extended another two years, ending in 2024. The extra time will mainly be needed to adopt management procedures for bigeye and yellowfin tuna by 2024. </w:t>
            </w:r>
          </w:p>
        </w:tc>
      </w:tr>
    </w:tbl>
    <w:p w:rsidR="0072721E" w:rsidRDefault="0072721E">
      <w:pPr>
        <w:ind w:left="0"/>
      </w:pPr>
    </w:p>
    <w:p w:rsidR="0072721E" w:rsidRDefault="007F04EE">
      <w:pPr>
        <w:ind w:left="0"/>
      </w:pPr>
      <w:r>
        <w:pict>
          <v:rect id="_x0000_i1041" style="width:0;height:1.5pt" o:hralign="center" o:hrstd="t" o:hr="t" fillcolor="#a0a0a0" stroked="f"/>
        </w:pict>
      </w:r>
    </w:p>
    <w:p w:rsidR="0072721E" w:rsidRDefault="0072721E">
      <w:pPr>
        <w:ind w:left="0"/>
      </w:pPr>
    </w:p>
    <w:tbl>
      <w:tblPr>
        <w:tblStyle w:val="afd"/>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18">
              <w:r>
                <w:rPr>
                  <w:color w:val="0000EE"/>
                  <w:u w:val="single"/>
                </w:rPr>
                <w:t>Reuben Sulu</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0" w:name="_aez484z92idl" w:colFirst="0" w:colLast="0"/>
            <w:bookmarkEnd w:id="50"/>
            <w:r>
              <w:t>8.2 Science Management Dialogue</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Commission to consider the views expressed at SC17 (Paras 101 and 111, </w:t>
            </w:r>
            <w:hyperlink r:id="rId119">
              <w:r>
                <w:rPr>
                  <w:color w:val="1155CC"/>
                  <w:u w:val="single"/>
                </w:rPr>
                <w:t>SC17 Outcomes Document - WCPFC18_2021_SC17-01</w:t>
              </w:r>
            </w:hyperlink>
            <w:r>
              <w:t xml:space="preserve">) on the utility of convening a science-management dialogue to expedite the progress and implementation of the Indicative Harvest Strategy Work Plan. </w:t>
            </w:r>
            <w:r>
              <w:rPr>
                <w:sz w:val="24"/>
                <w:szCs w:val="24"/>
              </w:rPr>
              <w:t xml:space="preserve"> </w:t>
            </w:r>
            <w:r>
              <w:t xml:space="preserve">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20">
              <w:r>
                <w:rPr>
                  <w:color w:val="1155CC"/>
                  <w:u w:val="single"/>
                </w:rPr>
                <w:t>WCPFC18-2021_SC17_01: SC17 outcomes document</w:t>
              </w:r>
            </w:hyperlink>
          </w:p>
          <w:p w:rsidR="0072721E" w:rsidRDefault="007F04EE">
            <w:pPr>
              <w:widowControl w:val="0"/>
              <w:spacing w:after="0"/>
              <w:ind w:left="0"/>
            </w:pPr>
            <w:hyperlink r:id="rId121">
              <w:r>
                <w:rPr>
                  <w:color w:val="1155CC"/>
                  <w:u w:val="single"/>
                </w:rPr>
                <w:t>WCPFC 17-2020-21: Science Management Dialogue</w:t>
              </w:r>
            </w:hyperlink>
          </w:p>
          <w:p w:rsidR="0072721E" w:rsidRDefault="007F04EE">
            <w:pPr>
              <w:widowControl w:val="0"/>
              <w:spacing w:after="0"/>
              <w:ind w:left="0"/>
            </w:pPr>
            <w:hyperlink r:id="rId122" w:anchor="heading=h.ayxgl2cdwm69">
              <w:r>
                <w:rPr>
                  <w:color w:val="1155CC"/>
                  <w:u w:val="single"/>
                </w:rPr>
                <w:t>WCPFC17 Brief for FFA members - Agenda item 8.2</w:t>
              </w:r>
            </w:hyperlink>
          </w:p>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idea of holding a regular Science management dialogue has been discussed for several years but has not been held due to lack of agreement, primarily in relation to timing.  SC17 recommended that a Science-Management Dialogue be held in 2022.  A background to the discussions on the Science Management Dialogue is presented and  a recommendation that FFA members should support a Science-Management Dialogue be held in 2022.</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spacing w:before="240"/>
              <w:ind w:left="0"/>
            </w:pPr>
            <w:r>
              <w:t>The need for a Science-Manager Dialogue process has been discussed for many years, as a mechanism for assisting CCMs to understand and implement the Harvest Strategy approach, provide a forum for fisheries managers to discuss and provide appropriate guidance to science providers on key elements of the harvest strategies, in general providing a focused environment in which scientists and managers can develop rigorous well-considered recommendations for the application of best-practice management approaches to WCPFC tuna stocks.</w:t>
            </w:r>
          </w:p>
          <w:p w:rsidR="0072721E" w:rsidRDefault="007F04EE">
            <w:pPr>
              <w:ind w:left="0"/>
            </w:pPr>
            <w:r>
              <w:t xml:space="preserve">At WCPFC15 there was a long debate on the status of the dialogue, whether it should be a formal subsidiary body or a working group, the timing of the meeting and its Terms of Reference.  From WCPFC15, there was a slight pull back of our position from a ‘subsidiary body to be held immediately after SC’ with the Chair’s proposal on the one extra day for the WCPFC16 to focus discussions on Harvest Strategies being an acceptable “one-off” compromise for 2019. </w:t>
            </w:r>
          </w:p>
          <w:p w:rsidR="0072721E" w:rsidRDefault="007F04EE">
            <w:pPr>
              <w:ind w:left="0"/>
            </w:pPr>
            <w:r>
              <w:t>At WCPFC16 on the extra day for discussions on the Harvest Strategies there were a number of conclusions made by the Commission:</w:t>
            </w:r>
          </w:p>
          <w:p w:rsidR="0072721E" w:rsidRDefault="007F04EE">
            <w:pPr>
              <w:numPr>
                <w:ilvl w:val="0"/>
                <w:numId w:val="39"/>
              </w:numPr>
              <w:spacing w:after="0"/>
            </w:pPr>
            <w:r>
              <w:t>The Commission reviewed the management objectives for the tropical tunas in CMM 2018-01 and for the South Pacific albacore and considered that there was no need to review the MOs on an annual basis, but they should be amended as required.</w:t>
            </w:r>
          </w:p>
          <w:p w:rsidR="0072721E" w:rsidRDefault="007F04EE">
            <w:pPr>
              <w:numPr>
                <w:ilvl w:val="0"/>
                <w:numId w:val="39"/>
              </w:numPr>
              <w:spacing w:after="0"/>
            </w:pPr>
            <w:r>
              <w:t>The Commission considered that it was important to consider economic indicators as performance indicators (PIs) and encouraged CCMs to assist the Scientific Services Provider by providing economic and other data to assist in development of PIs, including in relation to the disproportionate burden on SIDS, particularly with respect to multi-species fisheries.</w:t>
            </w:r>
          </w:p>
          <w:p w:rsidR="0072721E" w:rsidRDefault="007F04EE">
            <w:pPr>
              <w:numPr>
                <w:ilvl w:val="0"/>
                <w:numId w:val="39"/>
              </w:numPr>
              <w:spacing w:after="0"/>
            </w:pPr>
            <w:r>
              <w:t>The Commission agreed to task the Scientific Committee and the Scientific Services Provider with progressing work on a multispecies approach and to report back to the Commission.</w:t>
            </w:r>
          </w:p>
          <w:p w:rsidR="0072721E" w:rsidRDefault="007F04EE">
            <w:pPr>
              <w:numPr>
                <w:ilvl w:val="0"/>
                <w:numId w:val="39"/>
              </w:numPr>
            </w:pPr>
            <w:r>
              <w:t>The Commission noted that the Scientific Services Provider is planning to continue to undertake workshops for individual CCMs to build capacity on harvest strategies.</w:t>
            </w:r>
          </w:p>
          <w:p w:rsidR="0072721E" w:rsidRDefault="007F04EE">
            <w:pPr>
              <w:ind w:left="0"/>
            </w:pPr>
            <w:r>
              <w:t>There was push back from FFA members on this dialogue, citing the need for national capacity building to ensure the effective participation of our members, particularly SIDs, in harvest strategy discussions and processes.  However it also delays the much needed decisions by managers on these elements and issues to progress the harvest Strategy work.</w:t>
            </w:r>
          </w:p>
          <w:p w:rsidR="0072721E" w:rsidRDefault="007F04EE">
            <w:pPr>
              <w:widowControl w:val="0"/>
              <w:spacing w:after="0"/>
              <w:ind w:left="0"/>
            </w:pPr>
            <w:r>
              <w:t xml:space="preserve">The Science- Management dialogue agenda was on the online discussion forum for the SC16.  SC16 asked the Commission for a decision to convene this dialogue. </w:t>
            </w:r>
          </w:p>
          <w:p w:rsidR="0072721E" w:rsidRDefault="0072721E">
            <w:pPr>
              <w:widowControl w:val="0"/>
              <w:spacing w:after="0"/>
              <w:ind w:left="0"/>
            </w:pPr>
          </w:p>
          <w:p w:rsidR="0072721E" w:rsidRDefault="007F04EE">
            <w:pPr>
              <w:widowControl w:val="0"/>
              <w:spacing w:after="0"/>
              <w:ind w:left="0"/>
            </w:pPr>
            <w:r>
              <w:t>As drivers of the harvest strategy process, fishery managers and the wider stakeholder group will need to define key aspects of the process. Key areas and activities for decision making will include the following:</w:t>
            </w:r>
          </w:p>
          <w:p w:rsidR="0072721E" w:rsidRDefault="0072721E">
            <w:pPr>
              <w:widowControl w:val="0"/>
              <w:spacing w:after="0"/>
              <w:ind w:left="0"/>
            </w:pPr>
          </w:p>
          <w:p w:rsidR="0072721E" w:rsidRDefault="007F04EE">
            <w:pPr>
              <w:widowControl w:val="0"/>
              <w:numPr>
                <w:ilvl w:val="0"/>
                <w:numId w:val="40"/>
              </w:numPr>
              <w:spacing w:after="0"/>
            </w:pPr>
            <w:r>
              <w:t>An agreed procedure for selection of the ‘best performing’ management procedure;</w:t>
            </w:r>
          </w:p>
          <w:p w:rsidR="0072721E" w:rsidRDefault="007F04EE">
            <w:pPr>
              <w:widowControl w:val="0"/>
              <w:numPr>
                <w:ilvl w:val="0"/>
                <w:numId w:val="40"/>
              </w:numPr>
              <w:spacing w:after="0"/>
            </w:pPr>
            <w:r>
              <w:t>Approach for implementing the agreed procedure;</w:t>
            </w:r>
          </w:p>
          <w:p w:rsidR="0072721E" w:rsidRDefault="007F04EE">
            <w:pPr>
              <w:widowControl w:val="0"/>
              <w:numPr>
                <w:ilvl w:val="0"/>
                <w:numId w:val="40"/>
              </w:numPr>
              <w:spacing w:after="0"/>
            </w:pPr>
            <w:r>
              <w:t>Adopting Target Reference Points (TRPs) that define desirable states of a stock and fishery;</w:t>
            </w:r>
          </w:p>
          <w:p w:rsidR="0072721E" w:rsidRDefault="007F04EE">
            <w:pPr>
              <w:widowControl w:val="0"/>
              <w:numPr>
                <w:ilvl w:val="0"/>
                <w:numId w:val="40"/>
              </w:numPr>
              <w:spacing w:after="0"/>
            </w:pPr>
            <w:r>
              <w:t>Definition of fisheries and fishery controls within the harvest strategy;</w:t>
            </w:r>
          </w:p>
          <w:p w:rsidR="0072721E" w:rsidRDefault="007F04EE">
            <w:pPr>
              <w:widowControl w:val="0"/>
              <w:numPr>
                <w:ilvl w:val="0"/>
                <w:numId w:val="40"/>
              </w:numPr>
              <w:spacing w:after="0"/>
            </w:pPr>
            <w:r>
              <w:t>Input into candidate harvest control rules (HCRs);</w:t>
            </w:r>
          </w:p>
          <w:p w:rsidR="0072721E" w:rsidRDefault="007F04EE">
            <w:pPr>
              <w:widowControl w:val="0"/>
              <w:numPr>
                <w:ilvl w:val="0"/>
                <w:numId w:val="40"/>
              </w:numPr>
              <w:spacing w:after="0"/>
            </w:pPr>
            <w:r>
              <w:t>Feedback on presentational approaches to enhance decision making;</w:t>
            </w:r>
          </w:p>
          <w:p w:rsidR="0072721E" w:rsidRDefault="007F04EE">
            <w:pPr>
              <w:widowControl w:val="0"/>
              <w:numPr>
                <w:ilvl w:val="0"/>
                <w:numId w:val="40"/>
              </w:numPr>
              <w:spacing w:after="0"/>
            </w:pPr>
            <w:r>
              <w:t>Development of the monitoring strategy; and</w:t>
            </w:r>
          </w:p>
          <w:p w:rsidR="0072721E" w:rsidRDefault="007F04EE">
            <w:pPr>
              <w:widowControl w:val="0"/>
              <w:numPr>
                <w:ilvl w:val="0"/>
                <w:numId w:val="40"/>
              </w:numPr>
              <w:spacing w:after="0"/>
            </w:pPr>
            <w:r>
              <w:t>Definition of exceptional circumstances.</w:t>
            </w:r>
          </w:p>
          <w:p w:rsidR="0072721E" w:rsidRDefault="0072721E">
            <w:pPr>
              <w:widowControl w:val="0"/>
              <w:spacing w:after="0"/>
              <w:ind w:left="0"/>
            </w:pPr>
          </w:p>
          <w:p w:rsidR="0072721E" w:rsidRDefault="007F04EE">
            <w:pPr>
              <w:widowControl w:val="0"/>
              <w:spacing w:after="0"/>
              <w:ind w:left="0"/>
            </w:pPr>
            <w:r>
              <w:t>The Scientific Committee will also need to consider at future meetings:</w:t>
            </w:r>
          </w:p>
          <w:p w:rsidR="0072721E" w:rsidRDefault="007F04EE">
            <w:pPr>
              <w:widowControl w:val="0"/>
              <w:numPr>
                <w:ilvl w:val="0"/>
                <w:numId w:val="52"/>
              </w:numPr>
              <w:spacing w:after="0"/>
            </w:pPr>
            <w:r>
              <w:t>Operating model (OM) refinement and development;</w:t>
            </w:r>
          </w:p>
          <w:p w:rsidR="0072721E" w:rsidRDefault="007F04EE">
            <w:pPr>
              <w:widowControl w:val="0"/>
              <w:numPr>
                <w:ilvl w:val="0"/>
                <w:numId w:val="52"/>
              </w:numPr>
              <w:spacing w:after="0"/>
            </w:pPr>
            <w:r>
              <w:t>Define candidate estimation methods (EMs);</w:t>
            </w:r>
          </w:p>
          <w:p w:rsidR="0072721E" w:rsidRDefault="007F04EE">
            <w:pPr>
              <w:widowControl w:val="0"/>
              <w:numPr>
                <w:ilvl w:val="0"/>
                <w:numId w:val="52"/>
              </w:numPr>
              <w:spacing w:after="0"/>
            </w:pPr>
            <w:r>
              <w:t>Refine and evaluate performance indicators;</w:t>
            </w:r>
          </w:p>
          <w:p w:rsidR="0072721E" w:rsidRDefault="007F04EE">
            <w:pPr>
              <w:widowControl w:val="0"/>
              <w:numPr>
                <w:ilvl w:val="0"/>
                <w:numId w:val="52"/>
              </w:numPr>
              <w:spacing w:after="0"/>
            </w:pPr>
            <w:r>
              <w:t>Provide advice on scientific aspects of candidate HCRs;</w:t>
            </w:r>
          </w:p>
          <w:p w:rsidR="0072721E" w:rsidRDefault="007F04EE">
            <w:pPr>
              <w:widowControl w:val="0"/>
              <w:numPr>
                <w:ilvl w:val="0"/>
                <w:numId w:val="52"/>
              </w:numPr>
              <w:spacing w:after="0"/>
            </w:pPr>
            <w:r>
              <w:t>Support TRP definition;</w:t>
            </w:r>
          </w:p>
          <w:p w:rsidR="0072721E" w:rsidRDefault="007F04EE">
            <w:pPr>
              <w:widowControl w:val="0"/>
              <w:numPr>
                <w:ilvl w:val="0"/>
                <w:numId w:val="52"/>
              </w:numPr>
              <w:spacing w:after="0"/>
            </w:pPr>
            <w:r>
              <w:t>Review approaches to support the monitoring strategy;</w:t>
            </w:r>
          </w:p>
          <w:p w:rsidR="0072721E" w:rsidRDefault="007F04EE">
            <w:pPr>
              <w:widowControl w:val="0"/>
              <w:numPr>
                <w:ilvl w:val="0"/>
                <w:numId w:val="52"/>
              </w:numPr>
              <w:spacing w:after="0"/>
            </w:pPr>
            <w:r>
              <w:t>Evaluate economic indicators;</w:t>
            </w:r>
          </w:p>
          <w:p w:rsidR="0072721E" w:rsidRDefault="007F04EE">
            <w:pPr>
              <w:widowControl w:val="0"/>
              <w:numPr>
                <w:ilvl w:val="0"/>
                <w:numId w:val="52"/>
              </w:numPr>
              <w:spacing w:after="0"/>
            </w:pPr>
            <w:r>
              <w:t>Evaluate exceptional circumstances; and</w:t>
            </w:r>
          </w:p>
          <w:p w:rsidR="0072721E" w:rsidRDefault="007F04EE">
            <w:pPr>
              <w:widowControl w:val="0"/>
              <w:numPr>
                <w:ilvl w:val="0"/>
                <w:numId w:val="52"/>
              </w:numPr>
              <w:spacing w:after="0"/>
            </w:pPr>
            <w:r>
              <w:t>Develop multi-species approaches.</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 SC17 recommended that a Science- Management Dialogue be convened in 2022 for two reasons. Firstly, to get feedback from managers and stakeholders to progress the development of harvest strategy for skipjack (</w:t>
            </w:r>
            <w:hyperlink r:id="rId123">
              <w:r>
                <w:rPr>
                  <w:color w:val="1155CC"/>
                  <w:u w:val="single"/>
                </w:rPr>
                <w:t>SC17 Outcomes Document WCPFC18_2021_SC17-01</w:t>
              </w:r>
            </w:hyperlink>
            <w:r>
              <w:t xml:space="preserve"> para 101) ,  and secondly to ensure the input of managers and stakeholders to the MSE process and to ensure timely execution of the Commission's harvest strategies workplan (</w:t>
            </w:r>
            <w:hyperlink r:id="rId124">
              <w:r>
                <w:rPr>
                  <w:color w:val="1155CC"/>
                  <w:u w:val="single"/>
                </w:rPr>
                <w:t>SC17 Outcomes Document WCPFC18_2021_SC17-01</w:t>
              </w:r>
            </w:hyperlink>
            <w:r>
              <w:t>, para 111).</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National capacity building on harvest strategies has been conducted online for several members in 2020 and 2021.  It is recommended that members support a Science-Management Dialogue in 2022 as a trial to see whether it is the most effective way to discuss and develop the required harvest strategies recommendations for the Commission.  It is recommended that it be held as part of SC18 as the virtual format will allow for Fisheries Managers to engage with the process.  However if a physical meeting can be had by that time, it would be necessary to convene the Dialogue as a hybrid format to provide managers who are not able to attend the Scientific Committee an opportunity to connect to the discussions via Zoom.</w:t>
            </w:r>
          </w:p>
        </w:tc>
      </w:tr>
    </w:tbl>
    <w:p w:rsidR="0072721E" w:rsidRDefault="0072721E">
      <w:pPr>
        <w:ind w:left="0"/>
      </w:pPr>
    </w:p>
    <w:p w:rsidR="0072721E" w:rsidRDefault="0072721E">
      <w:pPr>
        <w:pBdr>
          <w:top w:val="nil"/>
          <w:left w:val="nil"/>
          <w:bottom w:val="nil"/>
          <w:right w:val="nil"/>
          <w:between w:val="nil"/>
        </w:pBdr>
        <w:ind w:left="0"/>
        <w:rPr>
          <w:sz w:val="18"/>
          <w:szCs w:val="18"/>
        </w:rPr>
      </w:pPr>
    </w:p>
    <w:p w:rsidR="0072721E" w:rsidRDefault="007F04EE">
      <w:pPr>
        <w:pStyle w:val="Heading1"/>
        <w:spacing w:after="200"/>
        <w:jc w:val="both"/>
      </w:pPr>
      <w:bookmarkStart w:id="51" w:name="_1rvwp1q" w:colFirst="0" w:colLast="0"/>
      <w:bookmarkEnd w:id="51"/>
      <w:r>
        <w:t>AGENDA ITEM 9</w:t>
      </w:r>
      <w:r>
        <w:tab/>
        <w:t>REPORTS FROM SUBSIDIARY BODIES AND WORKING GROUPS</w:t>
      </w:r>
    </w:p>
    <w:p w:rsidR="0072721E" w:rsidRDefault="007F04EE">
      <w:pPr>
        <w:pBdr>
          <w:top w:val="nil"/>
          <w:left w:val="nil"/>
          <w:bottom w:val="nil"/>
          <w:right w:val="nil"/>
          <w:between w:val="nil"/>
        </w:pBdr>
        <w:ind w:left="357" w:hanging="357"/>
        <w:rPr>
          <w:i/>
          <w:color w:val="000000"/>
          <w:sz w:val="18"/>
          <w:szCs w:val="18"/>
        </w:rPr>
      </w:pPr>
      <w:r>
        <w:rPr>
          <w:i/>
          <w:sz w:val="18"/>
          <w:szCs w:val="18"/>
        </w:rPr>
        <w:t>The reports under this agenda will be taken as read. Only recommendations of the reports not addressed under other agenda items will be considered under this agenda item.</w:t>
      </w:r>
    </w:p>
    <w:p w:rsidR="0072721E" w:rsidRDefault="0072721E">
      <w:pPr>
        <w:ind w:left="0"/>
      </w:pPr>
    </w:p>
    <w:tbl>
      <w:tblPr>
        <w:tblStyle w:val="afe"/>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25">
              <w:r>
                <w:rPr>
                  <w:color w:val="0000EE"/>
                  <w:u w:val="single"/>
                </w:rPr>
                <w:t>Reuben Sulu</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2" w:name="_h2pv0lwspnfz" w:colFirst="0" w:colLast="0"/>
            <w:bookmarkEnd w:id="52"/>
            <w:r>
              <w:t>9.1 SC17</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rPr>
                <w:sz w:val="24"/>
                <w:szCs w:val="24"/>
              </w:rPr>
              <w:t>A list of SC17 recommendations to WCPFC18 not considered under other agenda items will be presented for the Commission’s consideration and decision.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tcMar>
              <w:top w:w="100" w:type="dxa"/>
              <w:left w:w="100" w:type="dxa"/>
              <w:bottom w:w="100" w:type="dxa"/>
              <w:right w:w="100" w:type="dxa"/>
            </w:tcMar>
          </w:tcPr>
          <w:p w:rsidR="0072721E" w:rsidRDefault="007F04EE">
            <w:pPr>
              <w:widowControl w:val="0"/>
              <w:spacing w:after="0"/>
              <w:ind w:left="0"/>
            </w:pPr>
            <w:hyperlink r:id="rId126">
              <w:r>
                <w:rPr>
                  <w:color w:val="1155CC"/>
                  <w:u w:val="single"/>
                </w:rPr>
                <w:t>WCPFC18-2021-SC17: SC17 Summary Report</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tcMar>
              <w:top w:w="100" w:type="dxa"/>
              <w:left w:w="100" w:type="dxa"/>
              <w:bottom w:w="100" w:type="dxa"/>
              <w:right w:w="100" w:type="dxa"/>
            </w:tcMar>
          </w:tcPr>
          <w:p w:rsidR="0072721E" w:rsidRDefault="007F04EE">
            <w:pPr>
              <w:widowControl w:val="0"/>
              <w:spacing w:after="0"/>
              <w:ind w:left="0"/>
            </w:pPr>
            <w:r>
              <w:t>SC17 recommendations not considered elsewhere in the WCPFC18 agenda are brought to the attention of the Commission for consideration and adoption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tcMar>
              <w:top w:w="100" w:type="dxa"/>
              <w:left w:w="100" w:type="dxa"/>
              <w:bottom w:w="100" w:type="dxa"/>
              <w:right w:w="100" w:type="dxa"/>
            </w:tcMar>
          </w:tcPr>
          <w:p w:rsidR="0072721E" w:rsidRDefault="007F04EE">
            <w:pPr>
              <w:widowControl w:val="0"/>
              <w:spacing w:after="0"/>
              <w:ind w:left="0"/>
              <w:rPr>
                <w:highlight w:val="yellow"/>
              </w:rPr>
            </w:pPr>
            <w:r>
              <w:t>The seventeenth regular session of the Scientific Committee of the Western and Central Pacific Fisheries Commission was held online on 11-19th August 2021.  The seventeenth scientific committee has made important recommendations relating to the stock assessment and management of the fisheries within the Convention area. All recommendations which are not be considered elsewhere in the 18th Annual Commision agenda are provided here for adoption by the Commission.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tcMar>
              <w:top w:w="100" w:type="dxa"/>
              <w:left w:w="100" w:type="dxa"/>
              <w:bottom w:w="100" w:type="dxa"/>
              <w:right w:w="100" w:type="dxa"/>
            </w:tcMar>
          </w:tcPr>
          <w:p w:rsidR="0072721E" w:rsidRDefault="007F04EE">
            <w:pPr>
              <w:widowControl w:val="0"/>
              <w:spacing w:after="0"/>
              <w:ind w:left="0"/>
            </w:pPr>
            <w:r>
              <w:t>A list of recommendations (Attached as</w:t>
            </w:r>
            <w:hyperlink r:id="rId127">
              <w:r>
                <w:rPr>
                  <w:color w:val="1155CC"/>
                  <w:u w:val="single"/>
                </w:rPr>
                <w:t xml:space="preserve"> 9.1_Annex A </w:t>
              </w:r>
            </w:hyperlink>
            <w:r>
              <w:t>of this brief) not considered elsewhere in the agenda of the 18th regular session of the Western and Central Pacific Fisheries Commission is brought before the Commission for consideration. All these recommendations will be adopted together as a “SC17 recommendation package”</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No recommendations have been identified as requiring specific further attention by Members, however Members are encouraged to evaluate the recommendations in Annex A and raise any items of concern about these recommendations for the consideration of the broader FFA  Membership.</w:t>
            </w:r>
          </w:p>
        </w:tc>
      </w:tr>
    </w:tbl>
    <w:p w:rsidR="0072721E" w:rsidRDefault="0072721E">
      <w:pPr>
        <w:ind w:left="0"/>
      </w:pPr>
    </w:p>
    <w:p w:rsidR="0072721E" w:rsidRDefault="007F04EE">
      <w:pPr>
        <w:ind w:left="0"/>
      </w:pPr>
      <w:r>
        <w:pict>
          <v:rect id="_x0000_i1042" style="width:0;height:1.5pt" o:hralign="center" o:hrstd="t" o:hr="t" fillcolor="#a0a0a0" stroked="f"/>
        </w:pict>
      </w:r>
    </w:p>
    <w:p w:rsidR="0072721E" w:rsidRDefault="0072721E">
      <w:pPr>
        <w:ind w:left="0"/>
      </w:pPr>
    </w:p>
    <w:tbl>
      <w:tblPr>
        <w:tblStyle w:val="aff"/>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28">
              <w:r>
                <w:rPr>
                  <w:color w:val="0000EE"/>
                  <w:u w:val="single"/>
                </w:rPr>
                <w:t>'Ana F. Taholo</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3" w:name="_mgxf9iar3e1z" w:colFirst="0" w:colLast="0"/>
            <w:bookmarkEnd w:id="53"/>
            <w:r>
              <w:t>9.2 TCC17</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 list of TCC17 recommendations to WCPFC18 not considered under other agenda items will be presented for the Commission’s consideration and decision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29">
              <w:r>
                <w:rPr>
                  <w:color w:val="1155CC"/>
                  <w:u w:val="single"/>
                </w:rPr>
                <w:t>WCPFC18-2021-25</w:t>
              </w:r>
            </w:hyperlink>
            <w:r>
              <w:t xml:space="preserve"> Reference document on TCC17 Recommendations for agenda 9.2 and 9.4</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This agenda item will consider recommendations of the Technical and Compliance Committee (TCC17) which are not covered by other agenda items.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These recommendations relate to:</w:t>
            </w:r>
          </w:p>
          <w:p w:rsidR="0072721E" w:rsidRDefault="007F04EE">
            <w:pPr>
              <w:widowControl w:val="0"/>
              <w:numPr>
                <w:ilvl w:val="0"/>
                <w:numId w:val="36"/>
              </w:numPr>
              <w:spacing w:after="0"/>
            </w:pPr>
            <w:r>
              <w:t>Commission VMS (based on recommendations from the VMS SWG)</w:t>
            </w:r>
          </w:p>
          <w:p w:rsidR="0072721E" w:rsidRDefault="007F04EE">
            <w:pPr>
              <w:widowControl w:val="0"/>
              <w:numPr>
                <w:ilvl w:val="0"/>
                <w:numId w:val="36"/>
              </w:numPr>
              <w:spacing w:after="0"/>
            </w:pPr>
            <w:r>
              <w:t>Guidelines for the Voluntary Submission of Purse Seine processor data by CCMs to the Commission</w:t>
            </w:r>
          </w:p>
          <w:p w:rsidR="0072721E" w:rsidRDefault="007F04EE">
            <w:pPr>
              <w:widowControl w:val="0"/>
              <w:numPr>
                <w:ilvl w:val="0"/>
                <w:numId w:val="36"/>
              </w:numPr>
              <w:spacing w:after="0"/>
            </w:pPr>
            <w:r>
              <w:t>Best Practices for the Safe Handling and Release of Cetaceans</w:t>
            </w:r>
          </w:p>
          <w:p w:rsidR="0072721E" w:rsidRDefault="007F04EE">
            <w:pPr>
              <w:widowControl w:val="0"/>
              <w:numPr>
                <w:ilvl w:val="0"/>
                <w:numId w:val="36"/>
              </w:numPr>
              <w:spacing w:after="0"/>
            </w:pPr>
            <w:r>
              <w:t>Anticipated forecast of Secretariat work commitments for TCC</w:t>
            </w:r>
          </w:p>
          <w:p w:rsidR="0072721E" w:rsidRDefault="007F04EE">
            <w:pPr>
              <w:widowControl w:val="0"/>
              <w:numPr>
                <w:ilvl w:val="0"/>
                <w:numId w:val="36"/>
              </w:numPr>
              <w:spacing w:after="0"/>
            </w:pPr>
            <w:r>
              <w:t>Annual Report Part 2 deadline</w:t>
            </w:r>
          </w:p>
          <w:p w:rsidR="0072721E" w:rsidRDefault="007F04EE">
            <w:pPr>
              <w:widowControl w:val="0"/>
              <w:numPr>
                <w:ilvl w:val="0"/>
                <w:numId w:val="36"/>
              </w:numPr>
              <w:spacing w:after="0"/>
            </w:pPr>
            <w:r>
              <w:t>TCC workplan</w:t>
            </w:r>
          </w:p>
          <w:p w:rsidR="0072721E" w:rsidRDefault="007F04EE">
            <w:pPr>
              <w:widowControl w:val="0"/>
              <w:numPr>
                <w:ilvl w:val="0"/>
                <w:numId w:val="36"/>
              </w:numPr>
              <w:spacing w:after="0"/>
            </w:pPr>
            <w:r>
              <w:t>Next meeting</w:t>
            </w:r>
          </w:p>
          <w:p w:rsidR="0072721E" w:rsidRDefault="0072721E">
            <w:pPr>
              <w:widowControl w:val="0"/>
              <w:spacing w:after="0"/>
              <w:ind w:left="0"/>
            </w:pPr>
          </w:p>
          <w:p w:rsidR="0072721E" w:rsidRDefault="007F04EE">
            <w:pPr>
              <w:widowControl w:val="0"/>
              <w:spacing w:after="0"/>
              <w:ind w:left="0"/>
            </w:pPr>
            <w:r>
              <w:t xml:space="preserve">FFA Members supported all the recommendations above at TCC17.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aforementioned recommendations incorporate FFA Members views.</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Support the recommendations from TCC17 relating to the:</w:t>
            </w:r>
          </w:p>
          <w:p w:rsidR="0072721E" w:rsidRDefault="007F04EE">
            <w:pPr>
              <w:widowControl w:val="0"/>
              <w:numPr>
                <w:ilvl w:val="0"/>
                <w:numId w:val="11"/>
              </w:numPr>
              <w:spacing w:after="0"/>
            </w:pPr>
            <w:r>
              <w:t>Commission VMS</w:t>
            </w:r>
          </w:p>
          <w:p w:rsidR="0072721E" w:rsidRDefault="007F04EE">
            <w:pPr>
              <w:widowControl w:val="0"/>
              <w:numPr>
                <w:ilvl w:val="0"/>
                <w:numId w:val="11"/>
              </w:numPr>
              <w:spacing w:after="0"/>
            </w:pPr>
            <w:r>
              <w:t>Guidelines for the Voluntary Submission of Purse Seine processor data by CCMs to the Commission</w:t>
            </w:r>
          </w:p>
          <w:p w:rsidR="0072721E" w:rsidRDefault="007F04EE">
            <w:pPr>
              <w:widowControl w:val="0"/>
              <w:numPr>
                <w:ilvl w:val="0"/>
                <w:numId w:val="11"/>
              </w:numPr>
              <w:spacing w:after="0"/>
            </w:pPr>
            <w:r>
              <w:t>Best Practices for the Safe Handling and Release of Cetaceans</w:t>
            </w:r>
          </w:p>
          <w:p w:rsidR="0072721E" w:rsidRDefault="007F04EE">
            <w:pPr>
              <w:widowControl w:val="0"/>
              <w:numPr>
                <w:ilvl w:val="0"/>
                <w:numId w:val="11"/>
              </w:numPr>
              <w:spacing w:after="0"/>
            </w:pPr>
            <w:r>
              <w:t>Anticipated forecast of Secretariat work commitments for TCC</w:t>
            </w:r>
          </w:p>
          <w:p w:rsidR="0072721E" w:rsidRDefault="007F04EE">
            <w:pPr>
              <w:widowControl w:val="0"/>
              <w:numPr>
                <w:ilvl w:val="0"/>
                <w:numId w:val="11"/>
              </w:numPr>
              <w:spacing w:after="0"/>
            </w:pPr>
            <w:r>
              <w:t>Annual Report Part 2 deadline</w:t>
            </w:r>
          </w:p>
          <w:p w:rsidR="0072721E" w:rsidRDefault="007F04EE">
            <w:pPr>
              <w:widowControl w:val="0"/>
              <w:numPr>
                <w:ilvl w:val="0"/>
                <w:numId w:val="11"/>
              </w:numPr>
              <w:spacing w:after="0"/>
            </w:pPr>
            <w:r>
              <w:t>TCC workplan</w:t>
            </w:r>
          </w:p>
          <w:p w:rsidR="0072721E" w:rsidRDefault="007F04EE">
            <w:pPr>
              <w:widowControl w:val="0"/>
              <w:numPr>
                <w:ilvl w:val="0"/>
                <w:numId w:val="11"/>
              </w:numPr>
              <w:spacing w:after="0"/>
            </w:pPr>
            <w:r>
              <w:t>Next meeting</w:t>
            </w:r>
          </w:p>
          <w:p w:rsidR="0072721E" w:rsidRDefault="0072721E">
            <w:pPr>
              <w:widowControl w:val="0"/>
              <w:spacing w:after="0"/>
              <w:ind w:left="0"/>
            </w:pPr>
          </w:p>
        </w:tc>
      </w:tr>
    </w:tbl>
    <w:p w:rsidR="0072721E" w:rsidRDefault="0072721E">
      <w:pPr>
        <w:ind w:left="0"/>
      </w:pPr>
    </w:p>
    <w:p w:rsidR="0072721E" w:rsidRDefault="007F04EE">
      <w:pPr>
        <w:ind w:left="0"/>
      </w:pPr>
      <w:r>
        <w:pict>
          <v:rect id="_x0000_i1043" style="width:0;height:1.5pt" o:hralign="center" o:hrstd="t" o:hr="t" fillcolor="#a0a0a0" stroked="f"/>
        </w:pict>
      </w:r>
    </w:p>
    <w:p w:rsidR="0072721E" w:rsidRDefault="0072721E">
      <w:pPr>
        <w:ind w:left="0"/>
      </w:pPr>
    </w:p>
    <w:tbl>
      <w:tblPr>
        <w:tblStyle w:val="aff0"/>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30">
              <w:r>
                <w:rPr>
                  <w:color w:val="0000EE"/>
                  <w:u w:val="single"/>
                </w:rPr>
                <w:t>Reuben Sulu</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4" w:name="_lx9ymefkaq9n" w:colFirst="0" w:colLast="0"/>
            <w:bookmarkEnd w:id="54"/>
            <w:r>
              <w:t xml:space="preserve">9.3 NC17 </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rPr>
                <w:sz w:val="24"/>
                <w:szCs w:val="24"/>
              </w:rPr>
              <w:t xml:space="preserve">A list of NC17 recommendations to WCPFC18 not considered under other agenda items will be presented for the Commission’s consideration and decision.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31">
              <w:r>
                <w:rPr>
                  <w:color w:val="1155CC"/>
                  <w:u w:val="single"/>
                </w:rPr>
                <w:t>Northern Committee Seventeenth Regular Session Summary Report</w:t>
              </w:r>
            </w:hyperlink>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NC17 recommendations not considered elsewhere in the WCPFC18 agenda will normally be brought to the attention of the Commission for consideration and adoption under this agenda. Apart from recommendations on Pacific bluefin tuna which have been considered under its own agenda, there are no other recommendations for adoption from NC17 by WCPFC18.</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Seventeenth Regular Session of the Northern Committee (NC17) took place electronically, on 5-7 October 2021. The meeting was attended by Northern Committee (NC) members from Canada, China, Cook Islands, Fiji, Japan, Republic of Korea, Philippines, Chinese Taipei, United States of America (USA) and Vanuatu and observers from International Scientific Committee for Tuna and Tuna-like Species in the North Pacific Ocean (ISC), Organization for Regional and Inter-Regional Studies (ORIS), Pacific Islands Forum Fisheries Agency (FFA), The Ocean Foundation, The Pew Charitable Trusts (Pew) and World Wide Fund for Nature (WWF)</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only recommendation from NC17 was to adopt the revised conservation and management  for Pacific Bluefin Tuna and the harvest strategy for Pacific Bluefin Tuna. Considering that they have been considered under its own agenda, there are no other recommendations for consideration here.</w:t>
            </w:r>
          </w:p>
          <w:p w:rsidR="0072721E" w:rsidRDefault="007F04EE">
            <w:pPr>
              <w:widowControl w:val="0"/>
              <w:spacing w:after="0"/>
              <w:ind w:left="0"/>
            </w:pPr>
            <w:r>
              <w:t>NC17 has reviewed and adopted the 2022-2024 work programme for the Northern Committee, there is however no recommendation for adoption at the Commission level.</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Recommendations for Pacific Bluefin tuna have been allocated under its own agenda for consideration. There are no other recommendations for consideration from NC17.</w:t>
            </w:r>
          </w:p>
        </w:tc>
      </w:tr>
    </w:tbl>
    <w:p w:rsidR="0072721E" w:rsidRDefault="0072721E">
      <w:pPr>
        <w:ind w:left="0"/>
      </w:pPr>
    </w:p>
    <w:p w:rsidR="0072721E" w:rsidRDefault="007F04EE">
      <w:pPr>
        <w:ind w:left="0"/>
      </w:pPr>
      <w:r>
        <w:pict>
          <v:rect id="_x0000_i1044" style="width:0;height:1.5pt" o:hralign="center" o:hrstd="t" o:hr="t" fillcolor="#a0a0a0" stroked="f"/>
        </w:pict>
      </w:r>
    </w:p>
    <w:p w:rsidR="0072721E" w:rsidRDefault="0072721E">
      <w:pPr>
        <w:ind w:left="0"/>
      </w:pPr>
    </w:p>
    <w:tbl>
      <w:tblPr>
        <w:tblStyle w:val="aff1"/>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32">
              <w:r>
                <w:rPr>
                  <w:color w:val="0000EE"/>
                  <w:u w:val="single"/>
                </w:rPr>
                <w:t>'Ana F. Taholo</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5" w:name="_aq5cnmy6ovfj" w:colFirst="0" w:colLast="0"/>
            <w:bookmarkEnd w:id="55"/>
            <w:r>
              <w:t>9.4.1 E-Reporting and E-Monitoring (ERandEM WG)</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i/>
              </w:rPr>
            </w:pPr>
            <w:r>
              <w:rPr>
                <w:i/>
              </w:rPr>
              <w:t>The Commission will receive a brief update from the Chair of the ERandEM WG.</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No paper posted as of 8 November 2021.  Amendments to the brief will be provided if there will be a paper with anything substantive that is not covered here.</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work of the </w:t>
            </w:r>
            <w:r>
              <w:rPr>
                <w:highlight w:val="white"/>
              </w:rPr>
              <w:t>Electronic Reporting and Electronic Monitoring Intersessional Working Group (ERandEM WG)</w:t>
            </w:r>
            <w:r>
              <w:t xml:space="preserve"> as at its last meeting in October 2020 focussed on a Draft Consultative Proposal for a CMM for a Regional E-Monitoring Programme and Draft Minimum Standards.  No progress was made in 2021.  FFA Members' proposal relating to longline MCS elements for the tropical tuna measure requires a commitment to establish the WCPFC Regional Electronic Monitoring Programme by 2023 and for TCC18 to consider a proposal on this in 2022.  As such, the ERandEM WG would need to ensure that a proposal is forwarded to TCC18 for its consideration.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rPr>
                <w:highlight w:val="white"/>
              </w:rPr>
              <w:t>The ERandEM WG was established in 2014 to consider how electronic monitoring and electronic reporting technologies could benefit the work of CCMs and the Commission, in supporting the objective and implementation of the Convention.  The work over prior years had focused on the development of e-reporting standards, and since 2018 the focus has shifted to e-monitoring.  The draft TCC Workplan 2022-2024 indicates a progress report from the IWG is expected to be provided to TCC18 in 2022</w:t>
            </w:r>
            <w:r>
              <w:rPr>
                <w:color w:val="500050"/>
                <w:highlight w:val="white"/>
              </w:rPr>
              <w:t xml:space="preserve"> </w:t>
            </w:r>
            <w:hyperlink r:id="rId133">
              <w:r>
                <w:rPr>
                  <w:color w:val="1155CC"/>
                  <w:highlight w:val="white"/>
                  <w:u w:val="single"/>
                </w:rPr>
                <w:t>(link to ER and EM WG page)</w:t>
              </w:r>
            </w:hyperlink>
            <w:r>
              <w:rPr>
                <w:color w:val="500050"/>
                <w:highlight w:val="white"/>
              </w:rPr>
              <w:t>.  The current chair of the ERandEM WG is Kerry Smith of Australia.</w:t>
            </w:r>
          </w:p>
          <w:p w:rsidR="0072721E" w:rsidRDefault="0072721E">
            <w:pPr>
              <w:widowControl w:val="0"/>
              <w:spacing w:after="0"/>
              <w:ind w:left="0"/>
            </w:pPr>
          </w:p>
          <w:p w:rsidR="0072721E" w:rsidRDefault="007F04EE">
            <w:pPr>
              <w:widowControl w:val="0"/>
              <w:spacing w:after="0"/>
              <w:ind w:left="0"/>
            </w:pPr>
            <w:r>
              <w:t>The 4th meeting of the ERandEM WG (</w:t>
            </w:r>
            <w:hyperlink r:id="rId134">
              <w:r>
                <w:rPr>
                  <w:color w:val="1155CC"/>
                  <w:u w:val="single"/>
                </w:rPr>
                <w:t>ERandEM WG4</w:t>
              </w:r>
            </w:hyperlink>
            <w:r>
              <w:t xml:space="preserve">) took place in October 2020 which considered a Draft Consultative Proposal for a CMM for a Regional E-Monitoring Programme and a Draft Consultative Proposal for Minimum Standards.  The report of this meeting was provided to WCPFC17 (2020) where the Chair of the ERandEM WG noted that more work is needed onthe draft CMM on Electronic Monitoring and a need to work closely with the transhipment IWG.  </w:t>
            </w:r>
          </w:p>
          <w:p w:rsidR="0072721E" w:rsidRDefault="0072721E">
            <w:pPr>
              <w:widowControl w:val="0"/>
              <w:spacing w:after="0"/>
              <w:ind w:left="0"/>
            </w:pPr>
          </w:p>
          <w:p w:rsidR="0072721E" w:rsidRDefault="007F04EE">
            <w:pPr>
              <w:widowControl w:val="0"/>
              <w:spacing w:after="0"/>
              <w:ind w:left="0"/>
            </w:pPr>
            <w:r>
              <w:t>There was no activity undertaken by the ERandEM Working Group in 2021.</w:t>
            </w:r>
          </w:p>
          <w:p w:rsidR="0072721E" w:rsidRDefault="0072721E">
            <w:pPr>
              <w:widowControl w:val="0"/>
              <w:spacing w:after="0"/>
              <w:ind w:left="0"/>
            </w:pPr>
          </w:p>
          <w:p w:rsidR="0072721E" w:rsidRDefault="007F04EE">
            <w:pPr>
              <w:widowControl w:val="0"/>
              <w:spacing w:after="0"/>
              <w:ind w:left="0"/>
            </w:pPr>
            <w:r>
              <w:t xml:space="preserve">The </w:t>
            </w:r>
            <w:hyperlink r:id="rId135">
              <w:r>
                <w:rPr>
                  <w:color w:val="1155CC"/>
                  <w:u w:val="single"/>
                </w:rPr>
                <w:t>Annual Report of the Executive Director</w:t>
              </w:r>
            </w:hyperlink>
            <w:r>
              <w:t xml:space="preserve"> reported that in 2021, the WCPFC Secretariat led a study to identify and assess the high-level options and their potential costs and IT infrastructure for a WCPFC Secretariat role in receiving and managing Electronic Monitoring (EM) camera footage and data from an on-board camera system or data logger system. Transhipment monitoring was the focus for this work.  The consultancy was funded from a U.S. voluntary contribution received in 2020 and the Secretariat has worked closely with ERandEM WG Chair and TS-IWG (IWG to review CMM 2009-06) Co-Chairs throughout. </w:t>
            </w:r>
          </w:p>
          <w:p w:rsidR="0072721E" w:rsidRDefault="0072721E">
            <w:pPr>
              <w:widowControl w:val="0"/>
              <w:spacing w:after="0"/>
              <w:ind w:left="0"/>
            </w:pPr>
          </w:p>
          <w:p w:rsidR="0072721E" w:rsidRDefault="007F04EE">
            <w:pPr>
              <w:widowControl w:val="0"/>
              <w:spacing w:after="0"/>
              <w:ind w:left="0"/>
            </w:pPr>
            <w:r>
              <w:t>As background information, FFA Members at FFC114(2020) have adopted the Regional Longline Fishery Electronic Monitoring Policy, as a guide for Members in support of the development of their EM programmes at national, sub-regional and/or regional level.  An EM cost-benefit assessment has also been presented to Members in September 2021 to help inform members' approach to their respective EM programmes; and FFA Secretariat, SPC and PNAO are collaborating to progress the supporting tasks required to implement the EM policy.</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As part of the negotiation of the tropical tuna measure, FFA Members proposed several MCS longline elements to be included in the new measure.  One of these relates to Electronic Monitoring:</w:t>
            </w:r>
          </w:p>
          <w:p w:rsidR="0072721E" w:rsidRDefault="007F04EE">
            <w:pPr>
              <w:widowControl w:val="0"/>
              <w:spacing w:after="0"/>
              <w:ind w:left="0"/>
            </w:pPr>
            <w:r>
              <w:rPr>
                <w:i/>
              </w:rPr>
              <w:t>By 2023, the Commission shall establish a WCPFC Regional Electronic Monitoring Programme. The ERandEM Working Group is tasked with undertaking the necessary work to meet this deadline. TCC18 shall consider a proposal on the Minimum Standards for WCPFC Regional Electronic Monitoring Programme with a view to adoption by the Commission in 2022.</w:t>
            </w:r>
          </w:p>
          <w:p w:rsidR="0072721E" w:rsidRDefault="0072721E">
            <w:pPr>
              <w:widowControl w:val="0"/>
              <w:spacing w:after="0"/>
              <w:ind w:left="0"/>
            </w:pPr>
          </w:p>
          <w:p w:rsidR="0072721E" w:rsidRDefault="007F04EE">
            <w:pPr>
              <w:widowControl w:val="0"/>
              <w:spacing w:after="0"/>
              <w:ind w:left="0"/>
            </w:pPr>
            <w:r>
              <w:t>FFA Members’ proposal to the tropical tuna measure regarding a commitment to establish the WCPFC EM Programme by 2023 means that the ERandEM WG would need to do the ground work on this next year and forward a proposal to TCC18 for its consideration.</w:t>
            </w:r>
          </w:p>
          <w:p w:rsidR="0072721E" w:rsidRDefault="0072721E">
            <w:pPr>
              <w:widowControl w:val="0"/>
              <w:spacing w:after="0"/>
              <w:ind w:left="0"/>
            </w:pPr>
          </w:p>
          <w:p w:rsidR="0072721E" w:rsidRDefault="007F04EE">
            <w:pPr>
              <w:widowControl w:val="0"/>
              <w:spacing w:after="0"/>
              <w:ind w:left="0"/>
            </w:pPr>
            <w:r>
              <w:t>FFA Members are currently undertaking work to develop E-Monitoring standards with draft standards expected early next year (2022).</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Members may consider reiterating the proposal made under the tropical tuna measure negotiation for the Commission to establish the WCPFC Regional Electronic Monitoring Programme by 2023 and task the ERandEM WG to undertake the necessary work to meet this deadline.  To this end, the ERandEM WG should do the necessary work and provide a proposal to TCC18 for its consideration.</w:t>
            </w:r>
          </w:p>
          <w:p w:rsidR="0072721E" w:rsidRDefault="0072721E">
            <w:pPr>
              <w:widowControl w:val="0"/>
              <w:spacing w:after="0"/>
              <w:ind w:left="0"/>
            </w:pPr>
          </w:p>
          <w:p w:rsidR="0072721E" w:rsidRDefault="007F04EE">
            <w:pPr>
              <w:widowControl w:val="0"/>
              <w:spacing w:after="0"/>
              <w:ind w:left="0"/>
            </w:pPr>
            <w:r>
              <w:t>Members may wish to inform the Commission of its current work to develop EM standards which can also assist the work of the ERandEM WG on this issue.</w:t>
            </w:r>
          </w:p>
        </w:tc>
      </w:tr>
    </w:tbl>
    <w:p w:rsidR="0072721E" w:rsidRDefault="0072721E">
      <w:pPr>
        <w:ind w:left="0"/>
      </w:pPr>
    </w:p>
    <w:p w:rsidR="0072721E" w:rsidRDefault="007F04EE">
      <w:pPr>
        <w:ind w:left="0"/>
      </w:pPr>
      <w:r>
        <w:pict>
          <v:rect id="_x0000_i1045" style="width:0;height:1.5pt" o:hralign="center" o:hrstd="t" o:hr="t" fillcolor="#a0a0a0" stroked="f"/>
        </w:pict>
      </w:r>
    </w:p>
    <w:p w:rsidR="0072721E" w:rsidRDefault="0072721E">
      <w:pPr>
        <w:ind w:left="0"/>
      </w:pPr>
    </w:p>
    <w:tbl>
      <w:tblPr>
        <w:tblStyle w:val="aff2"/>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36">
              <w:r>
                <w:rPr>
                  <w:color w:val="0000EE"/>
                  <w:u w:val="single"/>
                </w:rPr>
                <w:t>'Ana F. Taholo</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6" w:name="_9piham5riqm0" w:colFirst="0" w:colLast="0"/>
            <w:bookmarkEnd w:id="56"/>
            <w:r>
              <w:t>9.4.2 Transhipment review (TS IWG)</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i/>
              </w:rPr>
            </w:pPr>
            <w:r>
              <w:rPr>
                <w:i/>
              </w:rPr>
              <w:t>The Commission will receive a brief update from the Chair of the TS IWG</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No paper posted as of 8 November 2021. Amendments to the brief will be provided if there will be a paper with anything substantive that is not covered here.</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highlight w:val="white"/>
              </w:rPr>
            </w:pPr>
            <w:r>
              <w:t xml:space="preserve">The work of the </w:t>
            </w:r>
            <w:r>
              <w:rPr>
                <w:highlight w:val="white"/>
              </w:rPr>
              <w:t>transhipment IWG focused on the development of the Scope of Work for the analysis of transhipment information to support the review of CMM 2009-06.  The report from this work is expected to be available in mid-August 2022.</w:t>
            </w:r>
          </w:p>
          <w:p w:rsidR="0072721E" w:rsidRDefault="0072721E">
            <w:pPr>
              <w:widowControl w:val="0"/>
              <w:spacing w:after="0"/>
              <w:ind w:left="0"/>
              <w:rPr>
                <w:highlight w:val="white"/>
              </w:rPr>
            </w:pPr>
          </w:p>
          <w:p w:rsidR="0072721E" w:rsidRDefault="007F04EE">
            <w:pPr>
              <w:widowControl w:val="0"/>
              <w:spacing w:after="0"/>
              <w:ind w:left="0"/>
            </w:pPr>
            <w:r>
              <w:rPr>
                <w:highlight w:val="white"/>
              </w:rPr>
              <w:t xml:space="preserve">FFA Members in the context of the tropical tuna measure negotiation have proposed that TCC18 consider the work of the transhipment IWG with a view to adopting a revised transhipment measure in 2022.  In addition, TCC17 discussed a proposal relating to the </w:t>
            </w:r>
            <w:r>
              <w:t>minimum standard data fields to be collected by ROP observers during transshipments at sea and FFA Members were of the view that this should be reviewed by the transshipment IWG and ROP WG first.</w:t>
            </w:r>
          </w:p>
          <w:p w:rsidR="0072721E" w:rsidRDefault="0072721E">
            <w:pPr>
              <w:widowControl w:val="0"/>
              <w:spacing w:after="0"/>
              <w:ind w:left="0"/>
              <w:rPr>
                <w:highlight w:val="white"/>
              </w:rPr>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IWG to review CMM 2009-06 (Transhipment CMM) was established in 2018 (</w:t>
            </w:r>
            <w:hyperlink r:id="rId137">
              <w:r>
                <w:rPr>
                  <w:color w:val="1155CC"/>
                  <w:u w:val="single"/>
                </w:rPr>
                <w:t>link to the IWG page)</w:t>
              </w:r>
            </w:hyperlink>
            <w:r>
              <w:t xml:space="preserve">. WCPFC17 appointed Mr. Felix Toa Ngwango (Vanuatu) as co-Chair of the IWG and agreed that Dr. Alex Kahl (United States) would also continue as co-chair. The focus of the IWG has been to develop a Scope of Work for the analysis of transhipment information to support the review of the Transhipment Measure (CMM 2009-06), and this was finalized in March 2021. Through the IWG, the Secretariat and SPC have been requested to utilize a U.S. voluntary contribution to complete the data analysis, however in 2021 priority was necessarily afforded to supporting the intersessional work for the Development of the Tropical Tuna Measure. TCC17 also asked the IWG to consider draft recommendations related to establishing ROP minimum standard data fields for transhipment at sea. The draft TCC workplan 2022-2024 indicates a progress report from the IWG is expected to be provided to TCC18 in 2022. </w:t>
            </w:r>
          </w:p>
          <w:p w:rsidR="0072721E" w:rsidRDefault="0072721E">
            <w:pPr>
              <w:widowControl w:val="0"/>
              <w:spacing w:after="0"/>
              <w:ind w:left="0"/>
            </w:pPr>
          </w:p>
          <w:p w:rsidR="0072721E" w:rsidRDefault="007F04EE">
            <w:pPr>
              <w:widowControl w:val="0"/>
              <w:spacing w:after="0"/>
              <w:ind w:left="0"/>
            </w:pPr>
            <w:r>
              <w:t>According to a email from the Co-Chairs in mid-October 2021, the timeline established in the Scope of Work for the Information Analysis is:</w:t>
            </w:r>
          </w:p>
          <w:p w:rsidR="0072721E" w:rsidRDefault="007F04EE">
            <w:pPr>
              <w:widowControl w:val="0"/>
              <w:numPr>
                <w:ilvl w:val="0"/>
                <w:numId w:val="43"/>
              </w:numPr>
              <w:spacing w:before="200" w:after="0"/>
              <w:ind w:left="940"/>
            </w:pPr>
            <w:r>
              <w:rPr>
                <w:b/>
                <w:color w:val="222222"/>
              </w:rPr>
              <w:t xml:space="preserve">September 2021 </w:t>
            </w:r>
            <w:r>
              <w:rPr>
                <w:color w:val="222222"/>
              </w:rPr>
              <w:t xml:space="preserve">- expected commencement date for </w:t>
            </w:r>
            <w:r>
              <w:rPr>
                <w:b/>
                <w:color w:val="222222"/>
              </w:rPr>
              <w:t>Phase 1 (Data Preparation)</w:t>
            </w:r>
            <w:r>
              <w:rPr>
                <w:color w:val="222222"/>
              </w:rPr>
              <w:t xml:space="preserve"> of the Analysis</w:t>
            </w:r>
          </w:p>
          <w:p w:rsidR="0072721E" w:rsidRDefault="007F04EE">
            <w:pPr>
              <w:widowControl w:val="0"/>
              <w:numPr>
                <w:ilvl w:val="0"/>
                <w:numId w:val="43"/>
              </w:numPr>
              <w:spacing w:after="0"/>
              <w:ind w:left="940"/>
            </w:pPr>
            <w:r>
              <w:rPr>
                <w:b/>
                <w:color w:val="222222"/>
              </w:rPr>
              <w:t>Q1 2022</w:t>
            </w:r>
            <w:r>
              <w:rPr>
                <w:color w:val="222222"/>
              </w:rPr>
              <w:t xml:space="preserve"> - consultant selection for Phase 3 will be completed by the Secretariat and shall be based on this Scope of Work</w:t>
            </w:r>
          </w:p>
          <w:p w:rsidR="0072721E" w:rsidRDefault="007F04EE">
            <w:pPr>
              <w:widowControl w:val="0"/>
              <w:numPr>
                <w:ilvl w:val="0"/>
                <w:numId w:val="43"/>
              </w:numPr>
              <w:spacing w:after="0"/>
              <w:ind w:left="940"/>
            </w:pPr>
            <w:r>
              <w:rPr>
                <w:b/>
                <w:color w:val="222222"/>
              </w:rPr>
              <w:t xml:space="preserve">TBD </w:t>
            </w:r>
            <w:r>
              <w:rPr>
                <w:color w:val="222222"/>
              </w:rPr>
              <w:t>- the WCPFC Secretariat and WCPFC Scientific Services Provider are expected to jointly provide a report for</w:t>
            </w:r>
            <w:r>
              <w:rPr>
                <w:b/>
                <w:color w:val="222222"/>
              </w:rPr>
              <w:t xml:space="preserve"> Phase 2 (Data Compilation and Analysis)</w:t>
            </w:r>
            <w:r>
              <w:rPr>
                <w:color w:val="222222"/>
              </w:rPr>
              <w:t xml:space="preserve">, that will be made available to the IWG at the same time as it is provided to the Consultant for </w:t>
            </w:r>
            <w:r>
              <w:rPr>
                <w:b/>
                <w:color w:val="222222"/>
              </w:rPr>
              <w:t>Phase 3 (Qualitative Study, Literature Review, Policy Analysis)</w:t>
            </w:r>
            <w:r>
              <w:rPr>
                <w:color w:val="222222"/>
              </w:rPr>
              <w:t>.</w:t>
            </w:r>
          </w:p>
          <w:p w:rsidR="0072721E" w:rsidRDefault="007F04EE">
            <w:pPr>
              <w:widowControl w:val="0"/>
              <w:numPr>
                <w:ilvl w:val="0"/>
                <w:numId w:val="43"/>
              </w:numPr>
              <w:spacing w:after="0"/>
              <w:ind w:left="940"/>
            </w:pPr>
            <w:r>
              <w:rPr>
                <w:b/>
                <w:color w:val="222222"/>
              </w:rPr>
              <w:t>15 July 2022</w:t>
            </w:r>
            <w:r>
              <w:rPr>
                <w:color w:val="222222"/>
              </w:rPr>
              <w:t xml:space="preserve"> - the Consultant is expected to deliver a draft report for comment by the IWG.</w:t>
            </w:r>
          </w:p>
          <w:p w:rsidR="0072721E" w:rsidRDefault="007F04EE">
            <w:pPr>
              <w:widowControl w:val="0"/>
              <w:numPr>
                <w:ilvl w:val="0"/>
                <w:numId w:val="43"/>
              </w:numPr>
              <w:ind w:left="940"/>
            </w:pPr>
            <w:r>
              <w:rPr>
                <w:b/>
                <w:color w:val="222222"/>
              </w:rPr>
              <w:t xml:space="preserve">15 August 2022 </w:t>
            </w:r>
            <w:r>
              <w:rPr>
                <w:color w:val="222222"/>
              </w:rPr>
              <w:t>-  final report due to TS-IWG.</w:t>
            </w:r>
          </w:p>
          <w:p w:rsidR="0072721E" w:rsidRDefault="007F04EE">
            <w:pPr>
              <w:widowControl w:val="0"/>
              <w:spacing w:before="200"/>
              <w:ind w:left="0"/>
              <w:rPr>
                <w:color w:val="222222"/>
              </w:rPr>
            </w:pPr>
            <w:r>
              <w:rPr>
                <w:color w:val="222222"/>
              </w:rPr>
              <w:t>The co-Chairs have raised that one outstanding issue is the funding of Phase 3. Phases 1 and 2 are being supported by the United States' 2019 voluntary contribution, but Phase 3 remains unfunded. The co-Chairs will seek the advice on estimated costs from the Secretariat and seek input from TS-IWG members regarding potential sources of funding for Phase 3.</w:t>
            </w:r>
          </w:p>
          <w:p w:rsidR="0072721E" w:rsidRDefault="007F04EE">
            <w:pPr>
              <w:widowControl w:val="0"/>
              <w:spacing w:after="0"/>
              <w:ind w:left="0"/>
            </w:pPr>
            <w:r>
              <w:t xml:space="preserve">The </w:t>
            </w:r>
            <w:hyperlink r:id="rId138">
              <w:r>
                <w:rPr>
                  <w:color w:val="1155CC"/>
                  <w:u w:val="single"/>
                </w:rPr>
                <w:t>Annual Report of the Executive Director</w:t>
              </w:r>
            </w:hyperlink>
            <w:r>
              <w:t xml:space="preserve"> reported that in 2021, the WCPFC Secretariat led a study to identify and assess the high-level options and their potential costs and IT infrastructure for a WCPFC Secretariat role in receiving and managing Electronic Monitoring (EM) camera footage and data from an on-board camera system or data logger system. Transhipment monitoring was the focus for this work. The consultancy was funded from a U.S. voluntary contribution received in 2020 and the Secretariat has worked closely with ERandEM WG Chair and TS-IWG (IWG to review CMM 2009-06) Co-Chairs throughout.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TCC17 recommended that the TS-IWG be asked to consider the following recommendations from TCC17-2021-DP01: </w:t>
            </w:r>
          </w:p>
          <w:p w:rsidR="0072721E" w:rsidRDefault="007F04EE">
            <w:pPr>
              <w:widowControl w:val="0"/>
              <w:spacing w:after="0"/>
              <w:ind w:left="283"/>
              <w:rPr>
                <w:i/>
              </w:rPr>
            </w:pPr>
            <w:r>
              <w:rPr>
                <w:i/>
              </w:rPr>
              <w:t xml:space="preserve">a. that TCC17 should recommend WCPFC18 adopt specific data fields from the Forms FC1, FC2, and FC3 as ROP minimum standard data fields to be collected by ROP observers during transshipments at sea. </w:t>
            </w:r>
          </w:p>
          <w:p w:rsidR="0072721E" w:rsidRDefault="007F04EE">
            <w:pPr>
              <w:widowControl w:val="0"/>
              <w:spacing w:after="0"/>
              <w:ind w:left="283"/>
              <w:rPr>
                <w:i/>
              </w:rPr>
            </w:pPr>
            <w:r>
              <w:rPr>
                <w:i/>
              </w:rPr>
              <w:t xml:space="preserve">b. that TCC17 should remind its members and WCPFC18 of the ROP Minimum Standard specifying that that ROP data should be submitted to the Secretariat where possible within 120 days of the observer disembarking the receiving vessel. </w:t>
            </w:r>
          </w:p>
          <w:p w:rsidR="0072721E" w:rsidRDefault="0072721E">
            <w:pPr>
              <w:widowControl w:val="0"/>
              <w:spacing w:after="0"/>
              <w:ind w:left="0"/>
            </w:pPr>
          </w:p>
          <w:p w:rsidR="0072721E" w:rsidRDefault="007F04EE">
            <w:pPr>
              <w:widowControl w:val="0"/>
              <w:spacing w:after="0"/>
              <w:ind w:left="0"/>
            </w:pPr>
            <w:r>
              <w:t xml:space="preserve">FSM, at TCC17, on behalf of FFA members supported the need for minimum data standards for monitoring of high seas transhipments, but suggested that the adoption of longline transhipment monitoring data standards be reviewed by the ROP-IWG and the Transhipment IWG that is reviewing CMM 2009-06 (TS-IWG).  </w:t>
            </w:r>
          </w:p>
          <w:p w:rsidR="0072721E" w:rsidRDefault="0072721E">
            <w:pPr>
              <w:widowControl w:val="0"/>
              <w:spacing w:after="0"/>
              <w:ind w:left="0"/>
            </w:pPr>
          </w:p>
          <w:p w:rsidR="0072721E" w:rsidRDefault="007F04EE">
            <w:pPr>
              <w:widowControl w:val="0"/>
              <w:spacing w:after="0"/>
              <w:ind w:left="0"/>
            </w:pPr>
            <w:r>
              <w:t>As part of the negotiation of the tropical tuna measure, FFA Members proposed several MCS longline elements to be included in the new measure.  One of this relates to transhipment reform:</w:t>
            </w:r>
          </w:p>
          <w:p w:rsidR="0072721E" w:rsidRDefault="007F04EE">
            <w:pPr>
              <w:widowControl w:val="0"/>
              <w:spacing w:after="0"/>
              <w:ind w:left="425"/>
            </w:pPr>
            <w:r>
              <w:rPr>
                <w:i/>
              </w:rPr>
              <w:t xml:space="preserve">TCC18 shall consider the work of the transhipment Intersessional Working Group to review CMM 2009-06 with a view to adoption by the Commission of a revised transhipment measure in 2022. </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Members may consider reiterating the proposal made under the tropical tuna measure negotiation for TCC18 to consider the work of the IWG with a view to adopting a revised transhipment measure in 2022.</w:t>
            </w:r>
          </w:p>
          <w:p w:rsidR="0072721E" w:rsidRDefault="0072721E">
            <w:pPr>
              <w:widowControl w:val="0"/>
              <w:spacing w:after="0"/>
              <w:ind w:left="0"/>
            </w:pPr>
          </w:p>
          <w:p w:rsidR="0072721E" w:rsidRDefault="007F04EE">
            <w:pPr>
              <w:widowControl w:val="0"/>
              <w:spacing w:after="0"/>
              <w:ind w:left="0"/>
            </w:pPr>
            <w:r>
              <w:t>In addition, in line with FFA Members views at TCC17, tasking the transhipment IWG to review the issue regarding minimum data standards for monitoring of high seas transhipment to be collected by observers.</w:t>
            </w:r>
          </w:p>
        </w:tc>
      </w:tr>
    </w:tbl>
    <w:p w:rsidR="0072721E" w:rsidRDefault="0072721E">
      <w:pPr>
        <w:ind w:left="0"/>
      </w:pPr>
    </w:p>
    <w:p w:rsidR="0072721E" w:rsidRDefault="007F04EE">
      <w:pPr>
        <w:ind w:left="0"/>
      </w:pPr>
      <w:r>
        <w:pict>
          <v:rect id="_x0000_i1046" style="width:0;height:1.5pt" o:hralign="center" o:hrstd="t" o:hr="t" fillcolor="#a0a0a0" stroked="f"/>
        </w:pict>
      </w:r>
    </w:p>
    <w:tbl>
      <w:tblPr>
        <w:tblStyle w:val="aff3"/>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39">
              <w:r>
                <w:rPr>
                  <w:color w:val="0000EE"/>
                  <w:u w:val="single"/>
                </w:rPr>
                <w:t>Leonard Rodwell</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7" w:name="_pzvq64a2vavn" w:colFirst="0" w:colLast="0"/>
            <w:bookmarkEnd w:id="57"/>
            <w:r>
              <w:t>9.4.3 Crew Labour Standards</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Commission will receive a brief update from the Co-Leads of the intersessional work on crew labour standards.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FFFFFF"/>
            <w:tcMar>
              <w:top w:w="100" w:type="dxa"/>
              <w:left w:w="100" w:type="dxa"/>
              <w:bottom w:w="100" w:type="dxa"/>
              <w:right w:w="100" w:type="dxa"/>
            </w:tcMar>
          </w:tcPr>
          <w:p w:rsidR="0072721E" w:rsidRDefault="007F04EE">
            <w:pPr>
              <w:widowControl w:val="0"/>
              <w:spacing w:after="0"/>
              <w:ind w:left="0"/>
            </w:pPr>
            <w:r>
              <w:t>At WCPFC17, Indonesia presented a Delegation Paper including a draft CMM on labour standards for fishing crew.  An inter-sessional working group was established co-chaired by Indonesia and New Zealand and the outcomes of the working group were used to develop a revised draft of the CMM that was considered by TCC17.  An updated draft of the CMM will be presented to WCPFC18.</w:t>
            </w:r>
          </w:p>
          <w:p w:rsidR="0072721E" w:rsidRDefault="007F04EE">
            <w:pPr>
              <w:widowControl w:val="0"/>
              <w:spacing w:after="0"/>
              <w:ind w:left="0"/>
            </w:pPr>
            <w:r>
              <w:t xml:space="preserve">FFA Members should continue to support the establishment of a binding CMM on crew safety and labour standards and the ongoing inter-sessional work. </w:t>
            </w:r>
          </w:p>
          <w:p w:rsidR="0072721E" w:rsidRDefault="007F04EE">
            <w:pPr>
              <w:widowControl w:val="0"/>
              <w:spacing w:after="0"/>
              <w:ind w:left="0"/>
            </w:pPr>
            <w:r>
              <w:t>FFA Members should welcome the decision by China to become part of the inter-sessional working group.</w:t>
            </w:r>
          </w:p>
          <w:p w:rsidR="0072721E" w:rsidRDefault="0072721E">
            <w:pPr>
              <w:widowControl w:val="0"/>
              <w:spacing w:after="0"/>
              <w:ind w:left="0"/>
              <w:rPr>
                <w:highlight w:val="white"/>
              </w:rPr>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ind w:left="0"/>
            </w:pPr>
            <w:r>
              <w:t xml:space="preserve">Initial work on the issue of labour standards for fishing crew led to the Commission Resolution on Labour Standards for Fishing Crew (Resolution 2018-01) and the Crewing MTC approved by FFA Members in 2019 and the Crewing MTC approved by FFA Members in 2019. </w:t>
            </w:r>
          </w:p>
          <w:p w:rsidR="0072721E" w:rsidRDefault="007F04EE">
            <w:pPr>
              <w:widowControl w:val="0"/>
              <w:ind w:left="0"/>
            </w:pPr>
            <w:r>
              <w:t>At WCPFC17, Indonesia presented a Delegation Paper including a draft CMM on labour standards for fishing crew.  FFA Members supported the establishment of an inter-sessional working group to further progress the development of the CMM on labour standards for fishing crew to be co-chaired by Indonesia and New Zealand. The first meeting of the inter-sessional working group was held in July 2021.</w:t>
            </w:r>
          </w:p>
          <w:p w:rsidR="0072721E" w:rsidRDefault="007F04EE">
            <w:pPr>
              <w:widowControl w:val="0"/>
              <w:ind w:left="0"/>
            </w:pPr>
            <w:r>
              <w:t>In September, the Co-Chairs produced a revised draft of the CMM which was considered by TCC17.  TCC17 recommended that intersessional work continue on improving crew labour standards and an update be provided to WCPFC18.  The other major development out of TCC was advice from China that it will participate in inter-sessional work in 2022.</w:t>
            </w:r>
          </w:p>
          <w:p w:rsidR="0072721E" w:rsidRDefault="007F04EE">
            <w:pPr>
              <w:widowControl w:val="0"/>
              <w:ind w:left="0"/>
            </w:pPr>
            <w:r>
              <w:t xml:space="preserve">A further inter-sessional meeting was scheduled for November in the lead up to WCPFC, but this was cancelled due the crowded calendar of commitments CCMs had.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ind w:left="0"/>
            </w:pPr>
            <w:r>
              <w:t xml:space="preserve">The issue of crew safety, including poor working conditions, mistreatment of fishing crew and allegations of forced labour, has remained in the spotlight throughout 2021. The development of a CMM on labour standards for fishing crew remains a priority for FFA Members as reflected by our active participation in the inter-sessional working group. </w:t>
            </w:r>
          </w:p>
          <w:p w:rsidR="0072721E" w:rsidRDefault="007F04EE">
            <w:pPr>
              <w:widowControl w:val="0"/>
              <w:ind w:left="0"/>
            </w:pPr>
            <w:r>
              <w:t>While FFA Members recognise that a significant amount of work has been done to develop the CMM, we recognise that there are a number of issues that still need to be worked through. We attach significant importance to improving the safety and working conditions of crew on board vessels fishing under the WCPF Convention. Crew play an integral role in the economic security of this region. We want to ensure the WCPFC treats this issue seriously, and FFA members are prepared to continue investing the time to do so throughout 2022.</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FFA Members should continue to support the establishment of a binding CMM on crew safety and labour standards and the ongoing inter-sessional work. </w:t>
            </w:r>
          </w:p>
          <w:p w:rsidR="0072721E" w:rsidRDefault="007F04EE">
            <w:pPr>
              <w:widowControl w:val="0"/>
              <w:spacing w:after="0"/>
              <w:ind w:left="0"/>
            </w:pPr>
            <w:r>
              <w:t>FFA Members should welcome the decision by China to become part of the inter-sessional working group.</w:t>
            </w:r>
          </w:p>
        </w:tc>
      </w:tr>
    </w:tbl>
    <w:p w:rsidR="0072721E" w:rsidRDefault="0072721E">
      <w:pPr>
        <w:ind w:left="0"/>
      </w:pPr>
    </w:p>
    <w:p w:rsidR="0072721E" w:rsidRDefault="0072721E">
      <w:pPr>
        <w:pBdr>
          <w:top w:val="nil"/>
          <w:left w:val="nil"/>
          <w:bottom w:val="nil"/>
          <w:right w:val="nil"/>
          <w:between w:val="nil"/>
        </w:pBdr>
        <w:ind w:left="0"/>
        <w:rPr>
          <w:color w:val="000000"/>
          <w:highlight w:val="yellow"/>
        </w:rPr>
      </w:pPr>
    </w:p>
    <w:p w:rsidR="0072721E" w:rsidRDefault="007F04EE">
      <w:pPr>
        <w:pStyle w:val="Heading1"/>
        <w:spacing w:after="200"/>
        <w:jc w:val="both"/>
      </w:pPr>
      <w:bookmarkStart w:id="58" w:name="_25b2l0r" w:colFirst="0" w:colLast="0"/>
      <w:bookmarkEnd w:id="58"/>
      <w:r>
        <w:t>AGENDA ITEM 10</w:t>
      </w:r>
      <w:r>
        <w:tab/>
        <w:t>COMPLIANCE MONITORING SCHEME</w:t>
      </w:r>
    </w:p>
    <w:p w:rsidR="0072721E" w:rsidRDefault="0072721E">
      <w:pPr>
        <w:ind w:left="0"/>
        <w:rPr>
          <w:b/>
          <w:sz w:val="28"/>
          <w:szCs w:val="28"/>
        </w:rPr>
      </w:pPr>
    </w:p>
    <w:tbl>
      <w:tblPr>
        <w:tblStyle w:val="aff4"/>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40">
              <w:r>
                <w:rPr>
                  <w:color w:val="0000EE"/>
                  <w:u w:val="single"/>
                </w:rPr>
                <w:t>'Ana F. Taholo</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59" w:name="_1gz84zmfxy89" w:colFirst="0" w:colLast="0"/>
            <w:bookmarkEnd w:id="59"/>
            <w:r>
              <w:t>10.1 Consideration and adoption of the final Compliance Monitoring Report (fCMR)</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i/>
              </w:rPr>
            </w:pPr>
            <w:r>
              <w:rPr>
                <w:i/>
              </w:rPr>
              <w:t>The Commission will, pursuant to CMM 2019-06, consider the provisional CMR recommended by TCC17 and also taking into account additional information that may be provided by CCMs. A small working group is expected to be established to consider the provisional CMR and compile a Final CMR for the consideration and adoption by the Commission in plenary.</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numPr>
                <w:ilvl w:val="0"/>
                <w:numId w:val="9"/>
              </w:numPr>
              <w:spacing w:after="0"/>
            </w:pPr>
            <w:hyperlink r:id="rId141">
              <w:r>
                <w:rPr>
                  <w:color w:val="1155CC"/>
                  <w:u w:val="single"/>
                </w:rPr>
                <w:t>WCPFC18-2021-27_PUBLIC</w:t>
              </w:r>
            </w:hyperlink>
            <w:r>
              <w:t xml:space="preserve"> Synopsis of update to compliance Status of CCMs in the provisional CMR recommended by TCC17</w:t>
            </w:r>
          </w:p>
          <w:p w:rsidR="0072721E" w:rsidRDefault="007F04EE">
            <w:pPr>
              <w:widowControl w:val="0"/>
              <w:numPr>
                <w:ilvl w:val="0"/>
                <w:numId w:val="9"/>
              </w:numPr>
              <w:spacing w:after="0"/>
            </w:pPr>
            <w:hyperlink r:id="rId142">
              <w:r>
                <w:rPr>
                  <w:color w:val="1155CC"/>
                  <w:u w:val="single"/>
                </w:rPr>
                <w:t>WCPFC18-2021-28</w:t>
              </w:r>
            </w:hyperlink>
            <w:r>
              <w:t xml:space="preserve"> Reference document on TCC17 recommendations for Agenda 10 </w:t>
            </w:r>
          </w:p>
          <w:p w:rsidR="0072721E" w:rsidRDefault="007F04EE">
            <w:pPr>
              <w:widowControl w:val="0"/>
              <w:spacing w:after="0"/>
              <w:ind w:left="0"/>
            </w:pPr>
            <w:r>
              <w:t>Secure documents:</w:t>
            </w:r>
          </w:p>
          <w:p w:rsidR="0072721E" w:rsidRDefault="007F04EE">
            <w:pPr>
              <w:widowControl w:val="0"/>
              <w:numPr>
                <w:ilvl w:val="0"/>
                <w:numId w:val="9"/>
              </w:numPr>
              <w:spacing w:after="0"/>
            </w:pPr>
            <w:r>
              <w:t>WCPFC-TCC17-2021-pCMR_exp_rev1 Revision 1 of export of 2021 Provisional CMR covering 2020 activities - updated post TCC17 - Excel file as at 9 Nov 2021</w:t>
            </w:r>
          </w:p>
          <w:p w:rsidR="0072721E" w:rsidRDefault="007F04EE">
            <w:pPr>
              <w:widowControl w:val="0"/>
              <w:numPr>
                <w:ilvl w:val="0"/>
                <w:numId w:val="9"/>
              </w:numPr>
              <w:spacing w:after="0"/>
            </w:pPr>
            <w:r>
              <w:rPr>
                <w:highlight w:val="white"/>
              </w:rPr>
              <w:t>WCPFC18-2021-27_SECURE Synopsis of updates to compliance statuses of CCMs in the Provisional CMR recommended by TCC17 - secure version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Secretariat has recommended a change of pCMR score from that agreed at TCC17 to five (5) implementation and reporting issues for Ecuador, European Union and Philippines.  These seem straightforward as a statement of implementation was provided where it was missing at TCC17 or information was submitted to complete a reporting gap.  </w:t>
            </w:r>
          </w:p>
          <w:p w:rsidR="0072721E" w:rsidRDefault="0072721E">
            <w:pPr>
              <w:widowControl w:val="0"/>
              <w:spacing w:after="0"/>
              <w:ind w:left="0"/>
            </w:pPr>
          </w:p>
          <w:p w:rsidR="0072721E" w:rsidRDefault="007F04EE">
            <w:pPr>
              <w:widowControl w:val="0"/>
              <w:spacing w:after="0"/>
              <w:ind w:left="0"/>
            </w:pPr>
            <w:r>
              <w:t>The additional issue that will be considered is that related to the South Pacific albacore limit (CMM 2015-02 01) for China and Chinese Taipei which did not achieve consensus at TCC17.  FFA Members at TCC17 were supportive of China being compliant but believed Chinese Taipei should be Priority Non-Compliant for exceeding its limit.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Paragraph 40 of CMM 2019-06 on CMS provides CCMs with an opportunity to provide additional information that only requires administrative consideration by the Secretariat to fill an information gap. TCC17 decided whether a particular obligation could be met with the provision of additional information. The deadline for CCMs to provide the additional information or advice was up to 21 days after TCC (this was on or before 19 October 2021). </w:t>
            </w:r>
          </w:p>
          <w:p w:rsidR="0072721E" w:rsidRDefault="0072721E">
            <w:pPr>
              <w:widowControl w:val="0"/>
              <w:spacing w:after="0"/>
              <w:ind w:left="0"/>
            </w:pPr>
          </w:p>
          <w:p w:rsidR="0072721E" w:rsidRDefault="007F04EE">
            <w:pPr>
              <w:widowControl w:val="0"/>
              <w:spacing w:after="0"/>
              <w:ind w:left="0"/>
            </w:pPr>
            <w:r>
              <w:t>An online interface allowed CCMs to include their submissions of additional information or advice.</w:t>
            </w:r>
          </w:p>
          <w:p w:rsidR="0072721E" w:rsidRDefault="0072721E">
            <w:pPr>
              <w:widowControl w:val="0"/>
              <w:spacing w:after="0"/>
              <w:ind w:left="0"/>
            </w:pPr>
          </w:p>
          <w:p w:rsidR="0072721E" w:rsidRDefault="007F04EE">
            <w:pPr>
              <w:widowControl w:val="0"/>
              <w:spacing w:after="0"/>
              <w:ind w:left="0"/>
            </w:pPr>
            <w:r>
              <w:t xml:space="preserve">Paragraph 41 of CMM 2019-06 tasks the Secretariat to update the compliance status of CCMs, based on the additional information provided by CCMs as outlined in CMM 2019-06 paragraph 40. A summary of these updates shall be submitted to the Commission for their consideration, along with the pCMR. The deadline for the Secretariat to provide the updated provisional CMR was 9 November 2021 (21 days after the CMM 2019-06 paragraph 40 deadline).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TCC17 adopted a provisional CMR and is submitting it to WCPFC18 for its consideration and final assessment.  CCMs provided additional information post TCC17.  As of 9th November 2021, based on the Secretariats review of CCMs additional information and some updates from the Secretariat, a change of pCMR score from that agreed at TCC17 is indicated for five issues (5) issues related to three (3) CCMs, as summarized below.</w:t>
            </w:r>
          </w:p>
          <w:p w:rsidR="0072721E" w:rsidRDefault="0072721E">
            <w:pPr>
              <w:widowControl w:val="0"/>
              <w:spacing w:after="0"/>
              <w:ind w:left="0"/>
            </w:pPr>
          </w:p>
          <w:p w:rsidR="0072721E" w:rsidRDefault="007F04EE">
            <w:pPr>
              <w:widowControl w:val="0"/>
              <w:spacing w:after="0"/>
              <w:ind w:left="0"/>
            </w:pPr>
            <w:r>
              <w:rPr>
                <w:noProof/>
              </w:rPr>
              <w:drawing>
                <wp:inline distT="114300" distB="114300" distL="114300" distR="114300">
                  <wp:extent cx="4827338" cy="3127571"/>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3"/>
                          <a:srcRect/>
                          <a:stretch>
                            <a:fillRect/>
                          </a:stretch>
                        </pic:blipFill>
                        <pic:spPr>
                          <a:xfrm>
                            <a:off x="0" y="0"/>
                            <a:ext cx="4827338" cy="3127571"/>
                          </a:xfrm>
                          <a:prstGeom prst="rect">
                            <a:avLst/>
                          </a:prstGeom>
                          <a:ln/>
                        </pic:spPr>
                      </pic:pic>
                    </a:graphicData>
                  </a:graphic>
                </wp:inline>
              </w:drawing>
            </w:r>
          </w:p>
          <w:p w:rsidR="0072721E" w:rsidRDefault="0072721E">
            <w:pPr>
              <w:widowControl w:val="0"/>
              <w:spacing w:after="0"/>
              <w:ind w:left="0"/>
            </w:pPr>
          </w:p>
          <w:p w:rsidR="0072721E" w:rsidRDefault="007F04EE">
            <w:pPr>
              <w:widowControl w:val="0"/>
              <w:spacing w:after="0"/>
              <w:ind w:left="0"/>
            </w:pPr>
            <w:r>
              <w:t>The pCMR includes one obligation relating to the South Pacific albacore limit (CMM 2015-02 01) which was assessed as majority/minority:</w:t>
            </w:r>
          </w:p>
          <w:p w:rsidR="0072721E" w:rsidRDefault="007F04EE">
            <w:pPr>
              <w:widowControl w:val="0"/>
              <w:numPr>
                <w:ilvl w:val="0"/>
                <w:numId w:val="44"/>
              </w:numPr>
              <w:spacing w:after="0"/>
            </w:pPr>
            <w:r>
              <w:t xml:space="preserve">China:  majority compliant, minority priority non-compliant - note that further work with SPC may be needed for historical baseline.  </w:t>
            </w:r>
          </w:p>
          <w:p w:rsidR="0072721E" w:rsidRDefault="007F04EE">
            <w:pPr>
              <w:widowControl w:val="0"/>
              <w:spacing w:after="0"/>
              <w:ind w:left="720"/>
            </w:pPr>
            <w:r>
              <w:t>FFA Members were comfortable with China being compliant (as consistent with assessment done in the past, the limit used was 70 vessels, and SPC data shows 35 vessels actively fished for SP ALB in 2020.  Note, this issue was raised by the United States.  Members may continue to support China being compliant with the SP ALB limit.</w:t>
            </w:r>
          </w:p>
          <w:p w:rsidR="0072721E" w:rsidRDefault="007F04EE">
            <w:pPr>
              <w:widowControl w:val="0"/>
              <w:numPr>
                <w:ilvl w:val="0"/>
                <w:numId w:val="44"/>
              </w:numPr>
              <w:spacing w:after="0"/>
            </w:pPr>
            <w:r>
              <w:t>Chinese Taipei:  Majority - Priority non-compliant, Minority (2 CCMs) - CMM Review - need to be taken to the Commission to consider definition of "actively fishing for".</w:t>
            </w:r>
          </w:p>
          <w:p w:rsidR="0072721E" w:rsidRDefault="007F04EE">
            <w:pPr>
              <w:widowControl w:val="0"/>
              <w:spacing w:after="0"/>
              <w:ind w:left="720"/>
            </w:pPr>
            <w:r>
              <w:t>FFA Members advocated that Chinese Taipei should be Priority Non-compliant because consistent with how it was assessed in the past, their limit was 81 vessels but the actual number of vessels actively fishing for SP ALB according to SPC calculation is over the limit (104 vessels).</w:t>
            </w:r>
          </w:p>
          <w:p w:rsidR="0072721E" w:rsidRDefault="0072721E">
            <w:pPr>
              <w:widowControl w:val="0"/>
              <w:spacing w:after="0"/>
              <w:ind w:left="0"/>
            </w:pPr>
          </w:p>
          <w:p w:rsidR="0072721E" w:rsidRDefault="007F04EE">
            <w:pPr>
              <w:widowControl w:val="0"/>
              <w:spacing w:after="0"/>
              <w:ind w:left="0"/>
            </w:pPr>
            <w:r>
              <w:t>It is expected that a working group will be established during WCPFC18, to consider the pCMR recommended by TCC17, the Secretariat’s updates to the Compliance statuses of CCMs in the Provisional Compliance Monitoring Report (pCMR), and to prepare a draft of the final CMR for the Commission's consideration.</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Support the Secretariat’s updates to the Compliance statues of CCMs in the pCMR.</w:t>
            </w:r>
          </w:p>
          <w:p w:rsidR="0072721E" w:rsidRDefault="0072721E">
            <w:pPr>
              <w:widowControl w:val="0"/>
              <w:spacing w:after="0"/>
              <w:ind w:left="0"/>
            </w:pPr>
          </w:p>
          <w:p w:rsidR="0072721E" w:rsidRDefault="007F04EE">
            <w:pPr>
              <w:widowControl w:val="0"/>
              <w:spacing w:after="0"/>
              <w:ind w:left="0"/>
            </w:pPr>
            <w:r>
              <w:t>On the issue of the South Pacific Albacore limit:</w:t>
            </w:r>
          </w:p>
          <w:p w:rsidR="0072721E" w:rsidRDefault="007F04EE">
            <w:pPr>
              <w:widowControl w:val="0"/>
              <w:numPr>
                <w:ilvl w:val="0"/>
                <w:numId w:val="49"/>
              </w:numPr>
              <w:spacing w:after="0"/>
            </w:pPr>
            <w:r>
              <w:t>Support China being compliant</w:t>
            </w:r>
          </w:p>
          <w:p w:rsidR="0072721E" w:rsidRDefault="007F04EE">
            <w:pPr>
              <w:widowControl w:val="0"/>
              <w:numPr>
                <w:ilvl w:val="0"/>
                <w:numId w:val="49"/>
              </w:numPr>
              <w:spacing w:after="0"/>
            </w:pPr>
            <w:r>
              <w:t>Continue to push for Chinese Taipei to be assessed as Priority Non-Compliant.</w:t>
            </w:r>
          </w:p>
        </w:tc>
      </w:tr>
    </w:tbl>
    <w:p w:rsidR="0072721E" w:rsidRDefault="0072721E">
      <w:pPr>
        <w:ind w:left="0"/>
      </w:pPr>
    </w:p>
    <w:p w:rsidR="0072721E" w:rsidRDefault="007F04EE">
      <w:pPr>
        <w:ind w:left="0"/>
      </w:pPr>
      <w:r>
        <w:pict>
          <v:rect id="_x0000_i1047" style="width:0;height:1.5pt" o:hralign="center" o:hrstd="t" o:hr="t" fillcolor="#a0a0a0" stroked="f"/>
        </w:pict>
      </w:r>
    </w:p>
    <w:p w:rsidR="0072721E" w:rsidRDefault="0072721E">
      <w:pPr>
        <w:ind w:left="0"/>
      </w:pPr>
    </w:p>
    <w:tbl>
      <w:tblPr>
        <w:tblStyle w:val="aff5"/>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44">
              <w:r>
                <w:rPr>
                  <w:color w:val="0000EE"/>
                  <w:u w:val="single"/>
                </w:rPr>
                <w:t>'Ana F. Taholo</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60" w:name="_xyk503958h3r" w:colFirst="0" w:colLast="0"/>
            <w:bookmarkEnd w:id="60"/>
            <w:r>
              <w:t>10.2 Work to progress the CMS future work included in Section IX of CMM 2019-06 Compliance Monitoring Scheme (CMS-IWG).</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i/>
              </w:rPr>
            </w:pPr>
            <w:r>
              <w:rPr>
                <w:i/>
              </w:rPr>
              <w:t>The Commission will receive a brief update from the Chair of the CMS-IWG on progress of work streams under Section IX of CMM 2019-06 to reform and enhance the efficiency and effectiveness of the compliance monitoring scheme.</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45">
              <w:r>
                <w:rPr>
                  <w:color w:val="1155CC"/>
                  <w:u w:val="single"/>
                </w:rPr>
                <w:t>WCPFC18-2021-28</w:t>
              </w:r>
            </w:hyperlink>
            <w:r>
              <w:t xml:space="preserve"> Reference document on TCC17 recommendations for Agenda 10</w:t>
            </w:r>
          </w:p>
          <w:p w:rsidR="0072721E" w:rsidRDefault="007F04EE">
            <w:pPr>
              <w:widowControl w:val="0"/>
              <w:spacing w:after="0"/>
              <w:ind w:left="0"/>
            </w:pPr>
            <w:hyperlink r:id="rId146">
              <w:r>
                <w:rPr>
                  <w:color w:val="1155CC"/>
                  <w:u w:val="single"/>
                </w:rPr>
                <w:t>WCPFC18-2021-29</w:t>
              </w:r>
            </w:hyperlink>
            <w:r>
              <w:t xml:space="preserve"> Draft CMS-IWG Workplan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In response to a tasking from TCC17, the CMS-IWG Chair (the TCC Vice Chair), in consultation with the Secretariat and the Leads of the audit point work and RBAF, have provided advice to WCPFC18 on a workplan for the IWG for 2022.  The draft workplan addresses all the five elements under the CMS Future Work section in the CMS measure and spans from 2021 - 2024.</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The Commission, through CMM 2019-06 on CMS Section IX paragraph 46,  commits to a multi-year workplan of tasks to enhance the CMS, with the aim of making it more efficient and effective, including by streamlining processes.  These include:</w:t>
            </w:r>
          </w:p>
          <w:p w:rsidR="0072721E" w:rsidRDefault="007F04EE">
            <w:pPr>
              <w:widowControl w:val="0"/>
              <w:numPr>
                <w:ilvl w:val="0"/>
                <w:numId w:val="2"/>
              </w:numPr>
              <w:spacing w:after="0"/>
            </w:pPr>
            <w:r>
              <w:t xml:space="preserve">(i) the development of audit points to clarify the Commission obligations assessed under the CMS, as well as the development of a checklist to be used by the proponents of any proposal to include a list of potential audit points for the consideration of the Commission; </w:t>
            </w:r>
          </w:p>
          <w:p w:rsidR="0072721E" w:rsidRDefault="007F04EE">
            <w:pPr>
              <w:widowControl w:val="0"/>
              <w:numPr>
                <w:ilvl w:val="0"/>
                <w:numId w:val="2"/>
              </w:numPr>
              <w:spacing w:after="0"/>
            </w:pPr>
            <w:r>
              <w:t xml:space="preserve">(ii) explore investment in technology solutions to facilitate improvements to the compliance case file system. </w:t>
            </w:r>
          </w:p>
          <w:p w:rsidR="0072721E" w:rsidRDefault="007F04EE">
            <w:pPr>
              <w:widowControl w:val="0"/>
              <w:numPr>
                <w:ilvl w:val="0"/>
                <w:numId w:val="2"/>
              </w:numPr>
              <w:spacing w:after="0"/>
            </w:pPr>
            <w:r>
              <w:t xml:space="preserve">(iii) the development of a risk-based assessment framework to inform compliance assessments and ensure obligations are meeting the objectives of the Commission; </w:t>
            </w:r>
          </w:p>
          <w:p w:rsidR="0072721E" w:rsidRDefault="007F04EE">
            <w:pPr>
              <w:widowControl w:val="0"/>
              <w:numPr>
                <w:ilvl w:val="0"/>
                <w:numId w:val="2"/>
              </w:numPr>
              <w:spacing w:after="0"/>
            </w:pPr>
            <w:r>
              <w:t xml:space="preserve">(iv) the development of corrective actions to encourage and incentivise CCMs’ compliance with the Commission’s obligations, where non-compliance is identified; </w:t>
            </w:r>
          </w:p>
          <w:p w:rsidR="0072721E" w:rsidRDefault="007F04EE">
            <w:pPr>
              <w:widowControl w:val="0"/>
              <w:numPr>
                <w:ilvl w:val="0"/>
                <w:numId w:val="2"/>
              </w:numPr>
              <w:spacing w:after="0"/>
            </w:pPr>
            <w:r>
              <w:t>(v) the development of the guidelines for participation of observers in closed meetings of the Commission and its subsidiary bodies which consider the Compliance Monitoring Report.</w:t>
            </w:r>
          </w:p>
          <w:p w:rsidR="0072721E" w:rsidRDefault="0072721E">
            <w:pPr>
              <w:widowControl w:val="0"/>
              <w:spacing w:after="0"/>
              <w:ind w:left="0"/>
            </w:pPr>
          </w:p>
          <w:p w:rsidR="0072721E" w:rsidRDefault="007F04EE">
            <w:pPr>
              <w:widowControl w:val="0"/>
              <w:spacing w:after="0"/>
              <w:ind w:left="0"/>
            </w:pPr>
            <w:r>
              <w:t>In 2020, an Intersessional Working Group (</w:t>
            </w:r>
            <w:hyperlink r:id="rId147">
              <w:r>
                <w:rPr>
                  <w:color w:val="1155CC"/>
                  <w:u w:val="single"/>
                </w:rPr>
                <w:t>CMS-IWG</w:t>
              </w:r>
            </w:hyperlink>
            <w:r>
              <w:t xml:space="preserve">) under the leadership of the TCC Vice-Chair was established which would work virtually to progress work intersessionally to undertake the CMS Future Work.  The current TCC Vice Chair, Emily Crigler (US), is the chair of the CMS-IWG.  </w:t>
            </w:r>
          </w:p>
          <w:p w:rsidR="0072721E" w:rsidRDefault="0072721E">
            <w:pPr>
              <w:widowControl w:val="0"/>
              <w:spacing w:after="0"/>
              <w:ind w:left="0"/>
            </w:pPr>
          </w:p>
          <w:p w:rsidR="0072721E" w:rsidRDefault="007F04EE">
            <w:pPr>
              <w:widowControl w:val="0"/>
              <w:spacing w:after="0"/>
              <w:ind w:left="0"/>
            </w:pPr>
            <w:r>
              <w:t>WCPFC17(2020) confirmed Ms. Heather Ward (New Zealand) to lead the risk-based assessment framework task and Ms. Rhea Moss-Christian (RMI) to lead the development of audit points in support of the CMS IWG Chair.</w:t>
            </w:r>
          </w:p>
          <w:p w:rsidR="0072721E" w:rsidRDefault="0072721E">
            <w:pPr>
              <w:widowControl w:val="0"/>
              <w:spacing w:after="0"/>
              <w:ind w:left="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TCC17 noted the need for a clear pathway to progress the work of the CMS-IWG and tasked the CMS-IWG Chair (the TCC Vice Chair) to work with the leads of the work streams to provide advice to WCPFC18 on a workplan for the IWG for 2022 (TCC17 Summary Report, paragraph 112).  </w:t>
            </w:r>
          </w:p>
          <w:p w:rsidR="0072721E" w:rsidRDefault="0072721E">
            <w:pPr>
              <w:widowControl w:val="0"/>
              <w:spacing w:after="0"/>
              <w:ind w:left="0"/>
            </w:pPr>
          </w:p>
          <w:p w:rsidR="0072721E" w:rsidRDefault="007F04EE">
            <w:pPr>
              <w:widowControl w:val="0"/>
              <w:spacing w:after="0"/>
              <w:ind w:left="0"/>
            </w:pPr>
            <w:r>
              <w:t>The CMS-IWG Chair, in consultation with the Secretariat and the respective leads on the development of a risk based assessment framework and the development of audit points have developed a draft work plan in response to the TCC17 tasking. The objective of the workplan is to develop a clear timeline of the anticipated work of the CMS IWG in order to complete the tasks included in the CMS future work plan, as outlined in Section IX of CMM 2019-06.</w:t>
            </w:r>
          </w:p>
          <w:p w:rsidR="0072721E" w:rsidRDefault="0072721E">
            <w:pPr>
              <w:widowControl w:val="0"/>
              <w:spacing w:after="0"/>
              <w:ind w:left="0"/>
            </w:pPr>
          </w:p>
          <w:p w:rsidR="0072721E" w:rsidRDefault="007F04EE">
            <w:pPr>
              <w:widowControl w:val="0"/>
              <w:spacing w:after="0"/>
              <w:ind w:left="0"/>
            </w:pPr>
            <w:r>
              <w:t>The draft workplan address all the five work areas under the CMS Future work and spans from 2021 - 2024.  The work on RBAF and enhancement to the Compliance Case File System (CCFS) is envisaged to be completed by 2022; audit point work and observer participation is planned to be completed by 2023; and development of corrective actions by 2024.</w:t>
            </w:r>
          </w:p>
          <w:p w:rsidR="0072721E" w:rsidRDefault="0072721E">
            <w:pPr>
              <w:widowControl w:val="0"/>
              <w:spacing w:after="0"/>
              <w:ind w:left="0"/>
            </w:pPr>
          </w:p>
          <w:p w:rsidR="0072721E" w:rsidRDefault="007F04EE">
            <w:pPr>
              <w:widowControl w:val="0"/>
              <w:spacing w:after="0"/>
              <w:ind w:left="0"/>
            </w:pPr>
            <w:r>
              <w:t>There are also other TCC17 recommendations (from paper 28) that may be taken up in this agenda item relating to streamlining of Annual Reporting, specifically the trial of Annual Catch and Effort (ACE Tables) and the improvement of the online Compliance Case FIle System (CCFS).  These were supported by FFA Members at TCC.</w:t>
            </w:r>
          </w:p>
          <w:p w:rsidR="0072721E" w:rsidRDefault="0072721E">
            <w:pPr>
              <w:widowControl w:val="0"/>
              <w:spacing w:after="0"/>
              <w:ind w:left="0"/>
            </w:pP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Discuss and consider supporting the draft CMS-IWG workplan and the TCC17 recommendations regarding streamlining of Annual Reporting and update on improving the CCFS.</w:t>
            </w:r>
          </w:p>
        </w:tc>
      </w:tr>
    </w:tbl>
    <w:p w:rsidR="0072721E" w:rsidRDefault="0072721E">
      <w:pPr>
        <w:ind w:left="0"/>
      </w:pPr>
    </w:p>
    <w:p w:rsidR="0072721E" w:rsidRDefault="007F04EE">
      <w:pPr>
        <w:ind w:left="0"/>
      </w:pPr>
      <w:r>
        <w:pict>
          <v:rect id="_x0000_i1048" style="width:0;height:1.5pt" o:hralign="center" o:hrstd="t" o:hr="t" fillcolor="#a0a0a0" stroked="f"/>
        </w:pict>
      </w:r>
    </w:p>
    <w:p w:rsidR="0072721E" w:rsidRDefault="0072721E">
      <w:pPr>
        <w:ind w:left="0"/>
      </w:pPr>
    </w:p>
    <w:tbl>
      <w:tblPr>
        <w:tblStyle w:val="aff6"/>
        <w:tblW w:w="10305" w:type="dxa"/>
        <w:tblLayout w:type="fixed"/>
        <w:tblLook w:val="0600" w:firstRow="0" w:lastRow="0" w:firstColumn="0" w:lastColumn="0" w:noHBand="1" w:noVBand="1"/>
      </w:tblPr>
      <w:tblGrid>
        <w:gridCol w:w="2010"/>
        <w:gridCol w:w="8295"/>
      </w:tblGrid>
      <w:tr w:rsidR="0072721E">
        <w:tc>
          <w:tcPr>
            <w:tcW w:w="201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8295" w:type="dxa"/>
            <w:shd w:val="clear" w:color="auto" w:fill="auto"/>
            <w:tcMar>
              <w:top w:w="100" w:type="dxa"/>
              <w:left w:w="100" w:type="dxa"/>
              <w:bottom w:w="100" w:type="dxa"/>
              <w:right w:w="100" w:type="dxa"/>
            </w:tcMar>
          </w:tcPr>
          <w:p w:rsidR="0072721E" w:rsidRDefault="007F04EE">
            <w:pPr>
              <w:widowControl w:val="0"/>
              <w:spacing w:after="0"/>
              <w:ind w:left="0"/>
            </w:pPr>
            <w:hyperlink r:id="rId148">
              <w:r>
                <w:rPr>
                  <w:color w:val="0000EE"/>
                  <w:u w:val="single"/>
                </w:rPr>
                <w:t>'Ana F. Taholo</w:t>
              </w:r>
            </w:hyperlink>
          </w:p>
        </w:tc>
      </w:tr>
      <w:tr w:rsidR="0072721E">
        <w:tc>
          <w:tcPr>
            <w:tcW w:w="201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8295" w:type="dxa"/>
            <w:shd w:val="clear" w:color="auto" w:fill="auto"/>
            <w:tcMar>
              <w:top w:w="100" w:type="dxa"/>
              <w:left w:w="100" w:type="dxa"/>
              <w:bottom w:w="100" w:type="dxa"/>
              <w:right w:w="100" w:type="dxa"/>
            </w:tcMar>
          </w:tcPr>
          <w:p w:rsidR="0072721E" w:rsidRDefault="007F04EE">
            <w:pPr>
              <w:pStyle w:val="Heading2"/>
              <w:widowControl w:val="0"/>
              <w:ind w:left="0"/>
            </w:pPr>
            <w:bookmarkStart w:id="61" w:name="_38t8nr5z27r6" w:colFirst="0" w:colLast="0"/>
            <w:bookmarkEnd w:id="61"/>
            <w:r>
              <w:t>10.3 Expiry of CMM 2019-06 on Compliance Monitoring Scheme (CMS)</w:t>
            </w:r>
          </w:p>
        </w:tc>
      </w:tr>
      <w:tr w:rsidR="0072721E">
        <w:trPr>
          <w:trHeight w:val="465"/>
        </w:trPr>
        <w:tc>
          <w:tcPr>
            <w:tcW w:w="201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8295" w:type="dxa"/>
            <w:shd w:val="clear" w:color="auto" w:fill="auto"/>
            <w:tcMar>
              <w:top w:w="100" w:type="dxa"/>
              <w:left w:w="100" w:type="dxa"/>
              <w:bottom w:w="100" w:type="dxa"/>
              <w:right w:w="100" w:type="dxa"/>
            </w:tcMar>
          </w:tcPr>
          <w:p w:rsidR="0072721E" w:rsidRDefault="007F04EE">
            <w:pPr>
              <w:widowControl w:val="0"/>
              <w:spacing w:after="0"/>
              <w:ind w:left="0"/>
              <w:rPr>
                <w:i/>
              </w:rPr>
            </w:pPr>
            <w:r>
              <w:rPr>
                <w:i/>
              </w:rPr>
              <w:t>The Commission is to consider a successor measure to ensure the continued operation of the CMS beyond the expiry of CMM 2019-06 on 31st December 2021</w:t>
            </w:r>
          </w:p>
        </w:tc>
      </w:tr>
      <w:tr w:rsidR="0072721E">
        <w:tc>
          <w:tcPr>
            <w:tcW w:w="201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8295" w:type="dxa"/>
            <w:shd w:val="clear" w:color="auto" w:fill="auto"/>
            <w:tcMar>
              <w:top w:w="100" w:type="dxa"/>
              <w:left w:w="100" w:type="dxa"/>
              <w:bottom w:w="100" w:type="dxa"/>
              <w:right w:w="100" w:type="dxa"/>
            </w:tcMar>
          </w:tcPr>
          <w:p w:rsidR="0072721E" w:rsidRDefault="007F04EE">
            <w:pPr>
              <w:widowControl w:val="0"/>
              <w:spacing w:after="0"/>
              <w:ind w:left="0"/>
            </w:pPr>
            <w:r>
              <w:t>No paper posted as @ 8 November and none is expected.  This brief was developed based on CCMs views on this issue.</w:t>
            </w:r>
          </w:p>
        </w:tc>
      </w:tr>
      <w:tr w:rsidR="0072721E">
        <w:tc>
          <w:tcPr>
            <w:tcW w:w="201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8295" w:type="dxa"/>
            <w:shd w:val="clear" w:color="auto" w:fill="auto"/>
            <w:tcMar>
              <w:top w:w="100" w:type="dxa"/>
              <w:left w:w="100" w:type="dxa"/>
              <w:bottom w:w="100" w:type="dxa"/>
              <w:right w:w="100" w:type="dxa"/>
            </w:tcMar>
          </w:tcPr>
          <w:p w:rsidR="0072721E" w:rsidRDefault="007F04EE">
            <w:pPr>
              <w:widowControl w:val="0"/>
              <w:spacing w:after="0"/>
              <w:ind w:left="0"/>
            </w:pPr>
            <w:r>
              <w:t>The CMS measure will expire at the end of 2021.  WCPFC18 will consider what happens beyond 2021.  Whilst some FFA members prefer a roll over of the measure at the annual session, others have voiced a need to suspend the CMS process whilst TCC and the Commission work on enhancing the scheme through, inter alia, work relating to the audit points and risk-based assessment framework (RBAF).</w:t>
            </w:r>
          </w:p>
        </w:tc>
      </w:tr>
      <w:tr w:rsidR="0072721E">
        <w:tc>
          <w:tcPr>
            <w:tcW w:w="201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8295" w:type="dxa"/>
            <w:shd w:val="clear" w:color="auto" w:fill="auto"/>
            <w:tcMar>
              <w:top w:w="100" w:type="dxa"/>
              <w:left w:w="100" w:type="dxa"/>
              <w:bottom w:w="100" w:type="dxa"/>
              <w:right w:w="100" w:type="dxa"/>
            </w:tcMar>
          </w:tcPr>
          <w:p w:rsidR="0072721E" w:rsidRDefault="007F04EE">
            <w:pPr>
              <w:widowControl w:val="0"/>
              <w:spacing w:after="0"/>
              <w:ind w:left="0"/>
            </w:pPr>
            <w:r>
              <w:t>CMM 2019-06 on the Compliance Monitoring Scheme came into force in February as a result of hard fought negotiations, particularly by FFA Members in the Port Moresby meeting in 2019. The new features included in CMM 2019-06 are:</w:t>
            </w:r>
          </w:p>
          <w:p w:rsidR="0072721E" w:rsidRDefault="007F04EE">
            <w:pPr>
              <w:widowControl w:val="0"/>
              <w:numPr>
                <w:ilvl w:val="0"/>
                <w:numId w:val="20"/>
              </w:numPr>
              <w:spacing w:after="0"/>
            </w:pPr>
            <w:r>
              <w:t xml:space="preserve">Removal of the Flag State Investigation (FSI) score </w:t>
            </w:r>
          </w:p>
          <w:p w:rsidR="0072721E" w:rsidRDefault="007F04EE">
            <w:pPr>
              <w:widowControl w:val="0"/>
              <w:numPr>
                <w:ilvl w:val="0"/>
                <w:numId w:val="20"/>
              </w:numPr>
              <w:spacing w:after="0"/>
            </w:pPr>
            <w:r>
              <w:t xml:space="preserve">To produce aggregated summary tables from the online CCFS…. to be considered alongside the draft CMR (para 26) </w:t>
            </w:r>
          </w:p>
          <w:p w:rsidR="0072721E" w:rsidRDefault="007F04EE">
            <w:pPr>
              <w:widowControl w:val="0"/>
              <w:numPr>
                <w:ilvl w:val="0"/>
                <w:numId w:val="20"/>
              </w:numPr>
              <w:spacing w:after="0"/>
            </w:pPr>
            <w:r>
              <w:t xml:space="preserve">Expiry of the measure on 31 December 2021 </w:t>
            </w:r>
          </w:p>
          <w:p w:rsidR="0072721E" w:rsidRDefault="007F04EE">
            <w:pPr>
              <w:widowControl w:val="0"/>
              <w:numPr>
                <w:ilvl w:val="0"/>
                <w:numId w:val="20"/>
              </w:numPr>
              <w:spacing w:after="0"/>
            </w:pPr>
            <w:r>
              <w:t>Continuation of the CMS Future Work (para 46) - discussed under agenda 5.3(c)</w:t>
            </w:r>
          </w:p>
          <w:p w:rsidR="0072721E" w:rsidRDefault="007F04EE">
            <w:pPr>
              <w:widowControl w:val="0"/>
              <w:spacing w:after="0"/>
              <w:ind w:left="0"/>
            </w:pPr>
            <w:r>
              <w:t xml:space="preserve">The measure will expire on 31 December 2021 and the annotated agenda states that the Commission is to consider a successor measure to ensure the continued operation of the CMS beyond 31 December 2021.  </w:t>
            </w:r>
          </w:p>
          <w:p w:rsidR="0072721E" w:rsidRDefault="0072721E">
            <w:pPr>
              <w:widowControl w:val="0"/>
              <w:spacing w:after="0"/>
              <w:ind w:left="0"/>
            </w:pPr>
          </w:p>
          <w:p w:rsidR="0072721E" w:rsidRDefault="007F04EE">
            <w:pPr>
              <w:widowControl w:val="0"/>
              <w:spacing w:after="0"/>
              <w:ind w:left="0"/>
            </w:pPr>
            <w:r>
              <w:t>The consideration of the aggregate tables was done for the first time at TCC17(2021) and TCC17 recommended that WCPFC18 tasks the TCC Chair to lead further intersessional work on a revised process to implement para26(ii) of CMM 2019-06 for the consideration of aggregated summaries of information drawn from the online Compliance Case File System ahead of TCC18.</w:t>
            </w:r>
          </w:p>
          <w:p w:rsidR="0072721E" w:rsidRDefault="0072721E">
            <w:pPr>
              <w:widowControl w:val="0"/>
              <w:spacing w:after="0"/>
              <w:ind w:left="0"/>
            </w:pPr>
          </w:p>
          <w:p w:rsidR="0072721E" w:rsidRDefault="007F04EE">
            <w:pPr>
              <w:widowControl w:val="0"/>
              <w:spacing w:after="0"/>
              <w:ind w:left="0"/>
            </w:pPr>
            <w:r>
              <w:t>At TCC17, FFA Members noted that a number of tasks such as the work relating to audit points, risk-based assessment framework and the consideration of the aggregate tables were foreseen to further enhance the CMS but unfortunately, progress in these areas has been limited, due in part, to the limited time available during virtual meetings to progress these issues.  FFA Members at TCC17  advised that they were still considering the issue relating to the expiry of the measure and will revisit this at the annual session. The United States on the other hand, supported a rollover of the current CMM, with updating of deadlines as required, with adoption of a more permanent CMM delayed.</w:t>
            </w:r>
          </w:p>
          <w:p w:rsidR="0072721E" w:rsidRDefault="0072721E">
            <w:pPr>
              <w:widowControl w:val="0"/>
              <w:spacing w:after="0"/>
              <w:ind w:left="0"/>
            </w:pPr>
          </w:p>
          <w:p w:rsidR="0072721E" w:rsidRDefault="007F04EE">
            <w:pPr>
              <w:widowControl w:val="0"/>
              <w:spacing w:after="0"/>
              <w:ind w:left="0"/>
            </w:pPr>
            <w:r>
              <w:t>At MOC (Oct 2021), PNA+Tokelau’s view is that the CMS process should be suspended in 2022 whilst TCC and the Commission progress the relevant work to enhance the scheme, which are stated in the CMS Future work section of the current measure, in particular the work on audit points and RBAF.  Some FFA Members, during the pre-TCC briefing spoke in favor of a roll over of the CMS measure.</w:t>
            </w:r>
          </w:p>
          <w:p w:rsidR="0072721E" w:rsidRDefault="0072721E">
            <w:pPr>
              <w:widowControl w:val="0"/>
              <w:spacing w:after="0"/>
              <w:ind w:left="0"/>
            </w:pPr>
          </w:p>
        </w:tc>
      </w:tr>
      <w:tr w:rsidR="0072721E">
        <w:tc>
          <w:tcPr>
            <w:tcW w:w="201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8295" w:type="dxa"/>
            <w:shd w:val="clear" w:color="auto" w:fill="auto"/>
            <w:tcMar>
              <w:top w:w="100" w:type="dxa"/>
              <w:left w:w="100" w:type="dxa"/>
              <w:bottom w:w="100" w:type="dxa"/>
              <w:right w:w="100" w:type="dxa"/>
            </w:tcMar>
          </w:tcPr>
          <w:p w:rsidR="0072721E" w:rsidRDefault="007F04EE">
            <w:pPr>
              <w:widowControl w:val="0"/>
              <w:spacing w:after="0"/>
              <w:ind w:left="0"/>
            </w:pPr>
            <w:r>
              <w:t>TCC17 acknowledged the delay in completing the work to enhance the CMS, but reaffirmed its commitment to do so, and urged the WCPFC18 to take action as needed to allow the TCC to fulfill its function of monitoring and reviewing compliance with conservation and management measures (draft TCC17 Summary Report para 120)</w:t>
            </w:r>
          </w:p>
          <w:p w:rsidR="0072721E" w:rsidRDefault="0072721E">
            <w:pPr>
              <w:widowControl w:val="0"/>
              <w:spacing w:after="0"/>
              <w:ind w:left="0"/>
            </w:pPr>
          </w:p>
          <w:p w:rsidR="0072721E" w:rsidRDefault="007F04EE">
            <w:pPr>
              <w:widowControl w:val="0"/>
              <w:spacing w:after="0"/>
              <w:ind w:left="0"/>
            </w:pPr>
            <w:r>
              <w:t>Members would need to consider what happens when the CMS measure expires at the end of this year (2021). The different views so far are to either:</w:t>
            </w:r>
          </w:p>
          <w:p w:rsidR="0072721E" w:rsidRDefault="007F04EE">
            <w:pPr>
              <w:widowControl w:val="0"/>
              <w:numPr>
                <w:ilvl w:val="0"/>
                <w:numId w:val="62"/>
              </w:numPr>
              <w:spacing w:after="0"/>
            </w:pPr>
            <w:r>
              <w:t>Roll over the measure; or</w:t>
            </w:r>
          </w:p>
          <w:p w:rsidR="0072721E" w:rsidRDefault="007F04EE">
            <w:pPr>
              <w:widowControl w:val="0"/>
              <w:numPr>
                <w:ilvl w:val="0"/>
                <w:numId w:val="62"/>
              </w:numPr>
              <w:spacing w:after="0"/>
            </w:pPr>
            <w:r>
              <w:t>Suspend the CMS process in 2022 whilst TCC and the Commission progress the enhancement of the scheme through, inter alia, work relating to the audit points and the RBAF.</w:t>
            </w:r>
          </w:p>
          <w:p w:rsidR="0072721E" w:rsidRDefault="0072721E">
            <w:pPr>
              <w:widowControl w:val="0"/>
              <w:spacing w:after="0"/>
              <w:ind w:left="0"/>
            </w:pPr>
          </w:p>
          <w:p w:rsidR="0072721E" w:rsidRDefault="007F04EE">
            <w:pPr>
              <w:widowControl w:val="0"/>
              <w:spacing w:after="0"/>
              <w:ind w:left="0"/>
            </w:pPr>
            <w:r>
              <w:t xml:space="preserve">Rolling over the measure will ensure that TCC continues to perform its main functions as articulated under Article 14(1) of the Convention, in particular, to monitor and review compliance with conservation and management measures adopted by the Commission and make such recommendations to the Commission as may be necessary.  In addition, it will give TCC the opportunity to enhance the practice of reviewing the aggregate information drawn from the online Compliance Case File System (CCFS) given that it has only been done once in 2021.  However, the disadvantage of rolling over the measure is that the current practice will continue with all the perceived flaws of the scheme.  </w:t>
            </w:r>
          </w:p>
          <w:p w:rsidR="0072721E" w:rsidRDefault="0072721E">
            <w:pPr>
              <w:widowControl w:val="0"/>
              <w:spacing w:after="0"/>
              <w:ind w:left="0"/>
            </w:pPr>
          </w:p>
          <w:p w:rsidR="0072721E" w:rsidRDefault="007F04EE">
            <w:pPr>
              <w:widowControl w:val="0"/>
              <w:spacing w:after="0"/>
              <w:ind w:left="0"/>
            </w:pPr>
            <w:r>
              <w:t>Suspending the CMS process in 2022 would give time for TCC to progress the related work, with the aim of addressing the shortcomings inherent in the current operation of the CMS.  It would also create strong incentives among CCMs for this work to be completed so that the CMS could resume.   However, suspending the scheme could risk reputational damage to the WCPFC as an RFMO, particularly from international organisations and NGOs.</w:t>
            </w:r>
          </w:p>
          <w:p w:rsidR="0072721E" w:rsidRDefault="0072721E">
            <w:pPr>
              <w:widowControl w:val="0"/>
              <w:spacing w:after="0"/>
              <w:ind w:left="0"/>
            </w:pPr>
          </w:p>
          <w:p w:rsidR="0072721E" w:rsidRDefault="007F04EE">
            <w:pPr>
              <w:widowControl w:val="0"/>
              <w:spacing w:after="0"/>
              <w:ind w:left="0"/>
            </w:pPr>
            <w:r>
              <w:t>The United States supported the roll over of the measure at TCC17 and is likely to stand strong on this position at WCPFC18.  The EU and Canada, although they did not speak on this issue at TCC, are likely to align themselves with the US.  Other CCMs views are not known at this time and although the asian DWFNs may support a suspension of the measure,  if they do, it is likely they will not be vocal on this.  It is also likely that they may not support a suspension given the risk and the negative press this may bring them.</w:t>
            </w:r>
          </w:p>
        </w:tc>
      </w:tr>
      <w:tr w:rsidR="0072721E">
        <w:trPr>
          <w:trHeight w:val="585"/>
        </w:trPr>
        <w:tc>
          <w:tcPr>
            <w:tcW w:w="201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8295" w:type="dxa"/>
            <w:shd w:val="clear" w:color="auto" w:fill="auto"/>
            <w:tcMar>
              <w:top w:w="100" w:type="dxa"/>
              <w:left w:w="100" w:type="dxa"/>
              <w:bottom w:w="100" w:type="dxa"/>
              <w:right w:w="100" w:type="dxa"/>
            </w:tcMar>
          </w:tcPr>
          <w:p w:rsidR="0072721E" w:rsidRDefault="007F04EE">
            <w:pPr>
              <w:widowControl w:val="0"/>
              <w:spacing w:after="0"/>
              <w:ind w:left="0"/>
            </w:pPr>
            <w:r>
              <w:t>Members to consider what would be the preferred option.</w:t>
            </w:r>
          </w:p>
        </w:tc>
      </w:tr>
    </w:tbl>
    <w:p w:rsidR="0072721E" w:rsidRDefault="0072721E">
      <w:pPr>
        <w:ind w:left="0"/>
      </w:pPr>
    </w:p>
    <w:p w:rsidR="0072721E" w:rsidRDefault="007F04EE">
      <w:pPr>
        <w:ind w:left="0"/>
      </w:pPr>
      <w:r>
        <w:pict>
          <v:rect id="_x0000_i1049" style="width:0;height:1.5pt" o:hralign="center" o:hrstd="t" o:hr="t" fillcolor="#a0a0a0" stroked="f"/>
        </w:pict>
      </w:r>
    </w:p>
    <w:p w:rsidR="0072721E" w:rsidRDefault="0072721E">
      <w:pPr>
        <w:ind w:left="0"/>
      </w:pPr>
    </w:p>
    <w:tbl>
      <w:tblPr>
        <w:tblStyle w:val="aff7"/>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49">
              <w:r>
                <w:rPr>
                  <w:color w:val="0000EE"/>
                  <w:u w:val="single"/>
                </w:rPr>
                <w:t>'Ana F. Taholo</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62" w:name="_g9r24il6tvuu" w:colFirst="0" w:colLast="0"/>
            <w:bookmarkEnd w:id="62"/>
            <w:r>
              <w:t>10.4 List of obligations to be assessed under the CMS</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rPr>
                <w:i/>
              </w:rPr>
            </w:pPr>
            <w:r>
              <w:rPr>
                <w:i/>
              </w:rPr>
              <w:t xml:space="preserve">The Commission to decide, pursuant to CMM 2019-06, on the List of Obligations to be reviewed by the compliance monitoring scheme in 2022. </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No paper posted as of 17 November.  Amendment to the brief will be provided if there will be a paper with anything substantive that is not covered here.</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CMM 2019-06 on CMS will expire at the end of 2021.  Determining a list of obligations to be assessed in 2022 is dependent on what happens to the CMS measure, noting the different views amongst Members (see brief under agenda 10.3).  The Lead of the RBAF, in test driving the framework, is anticipated to produce a possible list of obligations to be assessed under the scheme in 2022 (if the CMS measure will be rolled over), for CCMs’ consideration.</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CMM 2019-06 on CMS paragraph 6 states that each year, the Commission shall update what obligations shall be assessed in the following year using a risk-based approach, once developed and agreed. Until this risk-based approach is developed, the Commission shall take into account several factors which include:</w:t>
            </w:r>
          </w:p>
          <w:p w:rsidR="0072721E" w:rsidRDefault="0072721E">
            <w:pPr>
              <w:widowControl w:val="0"/>
              <w:spacing w:after="0"/>
              <w:ind w:left="0"/>
            </w:pPr>
          </w:p>
          <w:p w:rsidR="0072721E" w:rsidRDefault="007F04EE">
            <w:pPr>
              <w:widowControl w:val="0"/>
              <w:numPr>
                <w:ilvl w:val="0"/>
                <w:numId w:val="23"/>
              </w:numPr>
              <w:spacing w:after="0"/>
            </w:pPr>
            <w:r>
              <w:t xml:space="preserve">the needs and priorities of the Commission, including those of its subsidiary bodies; </w:t>
            </w:r>
          </w:p>
          <w:p w:rsidR="0072721E" w:rsidRDefault="007F04EE">
            <w:pPr>
              <w:widowControl w:val="0"/>
              <w:numPr>
                <w:ilvl w:val="0"/>
                <w:numId w:val="23"/>
              </w:numPr>
              <w:spacing w:after="0"/>
            </w:pPr>
            <w:r>
              <w:t>evidence of high percentages of non-compliance or persistent non-compliance by CCMs with specific obligations for multiple years;</w:t>
            </w:r>
          </w:p>
          <w:p w:rsidR="0072721E" w:rsidRDefault="007F04EE">
            <w:pPr>
              <w:widowControl w:val="0"/>
              <w:numPr>
                <w:ilvl w:val="0"/>
                <w:numId w:val="23"/>
              </w:numPr>
              <w:spacing w:after="0"/>
            </w:pPr>
            <w:r>
              <w:t xml:space="preserve">additional areas identified through the risk-based approach to be developed; and </w:t>
            </w:r>
          </w:p>
          <w:p w:rsidR="0072721E" w:rsidRDefault="007F04EE">
            <w:pPr>
              <w:widowControl w:val="0"/>
              <w:numPr>
                <w:ilvl w:val="0"/>
                <w:numId w:val="23"/>
              </w:numPr>
              <w:spacing w:after="0"/>
            </w:pPr>
            <w:r>
              <w:t>the potential risks posed by non-compliance by CCMs with CMMs (or collective obligations arising from CMMs) to achieve the objectives of the Convention or specific measures adopted thereunder.</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 xml:space="preserve">The Lead of the Risk-based assessment framework (RBAF) conducted a workshop on 10 November 2021 and one of the issues on the agenda was test driving the RBAF, which is to help inform the list of obligations to be assessed under the CMS.  FFA Members and the Philippines submitted risk-ratings of obligations.  </w:t>
            </w:r>
          </w:p>
          <w:p w:rsidR="0072721E" w:rsidRDefault="0072721E">
            <w:pPr>
              <w:widowControl w:val="0"/>
              <w:spacing w:after="0"/>
              <w:ind w:left="0"/>
            </w:pPr>
          </w:p>
          <w:p w:rsidR="0072721E" w:rsidRDefault="007F04EE">
            <w:pPr>
              <w:widowControl w:val="0"/>
              <w:spacing w:after="0"/>
              <w:ind w:left="0"/>
            </w:pPr>
            <w:r>
              <w:t>At the end of the workshop, the Lead advised that she will provide more guidance on the approach to  consequences after the workshop and a possible list of obligations to be assessed in 2022, for CCMs considerations, prior to WCPFC18.</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Depending on members decision regarding the expiry of the CMS measure, to consider the RBAF Lead’s possible list of obligations when it is available.</w:t>
            </w:r>
          </w:p>
        </w:tc>
      </w:tr>
    </w:tbl>
    <w:p w:rsidR="0072721E" w:rsidRDefault="0072721E">
      <w:pPr>
        <w:ind w:left="0"/>
      </w:pPr>
    </w:p>
    <w:p w:rsidR="0072721E" w:rsidRDefault="0072721E">
      <w:pPr>
        <w:rPr>
          <w:i/>
          <w:sz w:val="18"/>
          <w:szCs w:val="18"/>
        </w:rPr>
      </w:pPr>
    </w:p>
    <w:p w:rsidR="0072721E" w:rsidRDefault="0072721E">
      <w:pPr>
        <w:pBdr>
          <w:top w:val="nil"/>
          <w:left w:val="nil"/>
          <w:bottom w:val="nil"/>
          <w:right w:val="nil"/>
          <w:between w:val="nil"/>
        </w:pBdr>
        <w:ind w:left="0"/>
        <w:rPr>
          <w:color w:val="000000"/>
          <w:highlight w:val="yellow"/>
        </w:rPr>
      </w:pPr>
    </w:p>
    <w:p w:rsidR="0072721E" w:rsidRDefault="007F04EE">
      <w:pPr>
        <w:pStyle w:val="Heading1"/>
        <w:spacing w:after="200"/>
        <w:rPr>
          <w:color w:val="000000"/>
          <w:sz w:val="24"/>
          <w:szCs w:val="24"/>
        </w:rPr>
      </w:pPr>
      <w:bookmarkStart w:id="63" w:name="_43ky6rz" w:colFirst="0" w:colLast="0"/>
      <w:bookmarkEnd w:id="63"/>
      <w:r>
        <w:t>AGENDA ITEM 11</w:t>
      </w:r>
      <w:r>
        <w:tab/>
        <w:t>ADOPTION OF THE 2022 IUU VESSEL LIST</w:t>
      </w:r>
      <w:r>
        <w:rPr>
          <w:i/>
          <w:sz w:val="22"/>
          <w:szCs w:val="22"/>
        </w:rPr>
        <w:t xml:space="preserve"> </w:t>
      </w:r>
    </w:p>
    <w:p w:rsidR="0072721E" w:rsidRDefault="007F04EE">
      <w:pPr>
        <w:rPr>
          <w:i/>
          <w:sz w:val="16"/>
          <w:szCs w:val="16"/>
        </w:rPr>
      </w:pPr>
      <w:r>
        <w:rPr>
          <w:i/>
          <w:sz w:val="16"/>
          <w:szCs w:val="16"/>
        </w:rPr>
        <w:t>The Commission will consider and adopt, pursuant to CMM 2019-07, the WCPFC 2022 IUU Vessel List.</w:t>
      </w:r>
    </w:p>
    <w:p w:rsidR="0072721E" w:rsidRDefault="0072721E">
      <w:pPr>
        <w:ind w:left="0"/>
      </w:pPr>
    </w:p>
    <w:tbl>
      <w:tblPr>
        <w:tblStyle w:val="aff8"/>
        <w:tblW w:w="10305" w:type="dxa"/>
        <w:tblLayout w:type="fixed"/>
        <w:tblLook w:val="0600" w:firstRow="0" w:lastRow="0" w:firstColumn="0" w:lastColumn="0" w:noHBand="1" w:noVBand="1"/>
      </w:tblPr>
      <w:tblGrid>
        <w:gridCol w:w="2340"/>
        <w:gridCol w:w="7965"/>
      </w:tblGrid>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sz w:val="24"/>
                <w:szCs w:val="24"/>
              </w:rPr>
              <w:t>Primary Author</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50">
              <w:r>
                <w:rPr>
                  <w:color w:val="0000EE"/>
                  <w:u w:val="single"/>
                </w:rPr>
                <w:t>Pio Manoa</w:t>
              </w:r>
            </w:hyperlink>
          </w:p>
        </w:tc>
      </w:tr>
      <w:tr w:rsidR="0072721E">
        <w:tc>
          <w:tcPr>
            <w:tcW w:w="2340" w:type="dxa"/>
            <w:shd w:val="clear" w:color="auto" w:fill="F4CCCC"/>
            <w:tcMar>
              <w:top w:w="100" w:type="dxa"/>
              <w:left w:w="100" w:type="dxa"/>
              <w:bottom w:w="100" w:type="dxa"/>
              <w:right w:w="100" w:type="dxa"/>
            </w:tcMar>
          </w:tcPr>
          <w:p w:rsidR="0072721E" w:rsidRDefault="007F04EE">
            <w:pPr>
              <w:widowControl w:val="0"/>
              <w:spacing w:after="0"/>
              <w:ind w:left="0"/>
              <w:rPr>
                <w:b/>
              </w:rPr>
            </w:pPr>
            <w:r>
              <w:rPr>
                <w:b/>
              </w:rPr>
              <w:t>Agenda Item</w:t>
            </w:r>
          </w:p>
        </w:tc>
        <w:tc>
          <w:tcPr>
            <w:tcW w:w="7965" w:type="dxa"/>
            <w:shd w:val="clear" w:color="auto" w:fill="auto"/>
            <w:tcMar>
              <w:top w:w="100" w:type="dxa"/>
              <w:left w:w="100" w:type="dxa"/>
              <w:bottom w:w="100" w:type="dxa"/>
              <w:right w:w="100" w:type="dxa"/>
            </w:tcMar>
          </w:tcPr>
          <w:p w:rsidR="0072721E" w:rsidRDefault="007F04EE">
            <w:pPr>
              <w:pStyle w:val="Heading2"/>
              <w:widowControl w:val="0"/>
              <w:ind w:left="0"/>
            </w:pPr>
            <w:bookmarkStart w:id="64" w:name="_8098k9eidmsp" w:colFirst="0" w:colLast="0"/>
            <w:bookmarkEnd w:id="64"/>
            <w:r>
              <w:t xml:space="preserve">11. </w:t>
            </w:r>
            <w:r>
              <w:rPr>
                <w:sz w:val="24"/>
                <w:szCs w:val="24"/>
              </w:rPr>
              <w:t>Adoption of the 2022 IUU Vessel List</w:t>
            </w:r>
          </w:p>
        </w:tc>
      </w:tr>
      <w:tr w:rsidR="0072721E">
        <w:trPr>
          <w:trHeight w:val="465"/>
        </w:trPr>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Annotated agenda</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rPr>
                <w:sz w:val="24"/>
                <w:szCs w:val="24"/>
              </w:rPr>
              <w:t>The Commission will consider and adopt, pursuant to CMM 2019-07, the WCPFC 2022 IUU Vessel List. WCPFC</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References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hyperlink r:id="rId151">
              <w:r>
                <w:rPr>
                  <w:color w:val="1155CC"/>
                  <w:u w:val="single"/>
                </w:rPr>
                <w:t>WCPFC18-2021-30</w:t>
              </w:r>
            </w:hyperlink>
            <w:r>
              <w:t>; CMM 2019-07</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Executive Summary</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This agenda item considers relevant information for the decision of WCPFC18 on the 2022 WCPFC IUU Vessel List.</w:t>
            </w: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Background</w:t>
            </w:r>
          </w:p>
        </w:tc>
        <w:tc>
          <w:tcPr>
            <w:tcW w:w="7965" w:type="dxa"/>
            <w:shd w:val="clear" w:color="auto" w:fill="auto"/>
            <w:tcMar>
              <w:top w:w="100" w:type="dxa"/>
              <w:left w:w="100" w:type="dxa"/>
              <w:bottom w:w="100" w:type="dxa"/>
              <w:right w:w="100" w:type="dxa"/>
            </w:tcMar>
          </w:tcPr>
          <w:p w:rsidR="0072721E" w:rsidRDefault="007F04EE">
            <w:pPr>
              <w:widowControl w:val="0"/>
              <w:numPr>
                <w:ilvl w:val="0"/>
                <w:numId w:val="23"/>
              </w:numPr>
              <w:spacing w:after="0"/>
            </w:pPr>
            <w:r>
              <w:t>Details on the vessels listed on the  2021 WCPFC IUU Vessel List are as follows:</w:t>
            </w:r>
          </w:p>
          <w:p w:rsidR="0072721E" w:rsidRDefault="0072721E">
            <w:pPr>
              <w:widowControl w:val="0"/>
              <w:numPr>
                <w:ilvl w:val="0"/>
                <w:numId w:val="23"/>
              </w:numPr>
              <w:spacing w:after="0"/>
            </w:pPr>
          </w:p>
          <w:p w:rsidR="0072721E" w:rsidRDefault="0072721E">
            <w:pPr>
              <w:widowControl w:val="0"/>
              <w:numPr>
                <w:ilvl w:val="0"/>
                <w:numId w:val="23"/>
              </w:numPr>
              <w:spacing w:after="0"/>
            </w:pPr>
          </w:p>
          <w:tbl>
            <w:tblPr>
              <w:tblStyle w:val="aff9"/>
              <w:tblW w:w="77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70"/>
              <w:gridCol w:w="1110"/>
              <w:gridCol w:w="1455"/>
              <w:gridCol w:w="1965"/>
              <w:gridCol w:w="1665"/>
            </w:tblGrid>
            <w:tr w:rsidR="0072721E">
              <w:tc>
                <w:tcPr>
                  <w:tcW w:w="1570" w:type="dxa"/>
                  <w:shd w:val="clear" w:color="auto" w:fill="auto"/>
                  <w:tcMar>
                    <w:top w:w="100" w:type="dxa"/>
                    <w:left w:w="100" w:type="dxa"/>
                    <w:bottom w:w="100" w:type="dxa"/>
                    <w:right w:w="100" w:type="dxa"/>
                  </w:tcMar>
                </w:tcPr>
                <w:p w:rsidR="0072721E" w:rsidRDefault="007F04EE">
                  <w:pPr>
                    <w:widowControl w:val="0"/>
                    <w:spacing w:after="0"/>
                    <w:ind w:left="0"/>
                    <w:rPr>
                      <w:b/>
                      <w:i/>
                    </w:rPr>
                  </w:pPr>
                  <w:r>
                    <w:rPr>
                      <w:b/>
                      <w:i/>
                    </w:rPr>
                    <w:t>Notifying CCM</w:t>
                  </w:r>
                </w:p>
              </w:tc>
              <w:tc>
                <w:tcPr>
                  <w:tcW w:w="1110" w:type="dxa"/>
                  <w:shd w:val="clear" w:color="auto" w:fill="auto"/>
                  <w:tcMar>
                    <w:top w:w="100" w:type="dxa"/>
                    <w:left w:w="100" w:type="dxa"/>
                    <w:bottom w:w="100" w:type="dxa"/>
                    <w:right w:w="100" w:type="dxa"/>
                  </w:tcMar>
                </w:tcPr>
                <w:p w:rsidR="0072721E" w:rsidRDefault="007F04EE">
                  <w:pPr>
                    <w:widowControl w:val="0"/>
                    <w:spacing w:after="0"/>
                    <w:ind w:left="0"/>
                    <w:rPr>
                      <w:b/>
                      <w:i/>
                    </w:rPr>
                  </w:pPr>
                  <w:r>
                    <w:rPr>
                      <w:b/>
                      <w:i/>
                    </w:rPr>
                    <w:t>Vessel Name (IRCS)</w:t>
                  </w:r>
                </w:p>
              </w:tc>
              <w:tc>
                <w:tcPr>
                  <w:tcW w:w="1455" w:type="dxa"/>
                  <w:shd w:val="clear" w:color="auto" w:fill="auto"/>
                  <w:tcMar>
                    <w:top w:w="100" w:type="dxa"/>
                    <w:left w:w="100" w:type="dxa"/>
                    <w:bottom w:w="100" w:type="dxa"/>
                    <w:right w:w="100" w:type="dxa"/>
                  </w:tcMar>
                </w:tcPr>
                <w:p w:rsidR="0072721E" w:rsidRDefault="007F04EE">
                  <w:pPr>
                    <w:widowControl w:val="0"/>
                    <w:spacing w:after="0"/>
                    <w:ind w:left="0"/>
                    <w:rPr>
                      <w:b/>
                      <w:i/>
                    </w:rPr>
                  </w:pPr>
                  <w:r>
                    <w:rPr>
                      <w:b/>
                      <w:i/>
                    </w:rPr>
                    <w:t>Flag State (last known flag State)</w:t>
                  </w:r>
                </w:p>
              </w:tc>
              <w:tc>
                <w:tcPr>
                  <w:tcW w:w="1965" w:type="dxa"/>
                  <w:shd w:val="clear" w:color="auto" w:fill="auto"/>
                  <w:tcMar>
                    <w:top w:w="100" w:type="dxa"/>
                    <w:left w:w="100" w:type="dxa"/>
                    <w:bottom w:w="100" w:type="dxa"/>
                    <w:right w:w="100" w:type="dxa"/>
                  </w:tcMar>
                </w:tcPr>
                <w:p w:rsidR="0072721E" w:rsidRDefault="007F04EE">
                  <w:pPr>
                    <w:widowControl w:val="0"/>
                    <w:spacing w:after="0"/>
                    <w:ind w:left="0"/>
                    <w:rPr>
                      <w:b/>
                      <w:i/>
                    </w:rPr>
                  </w:pPr>
                  <w:r>
                    <w:rPr>
                      <w:b/>
                      <w:i/>
                    </w:rPr>
                    <w:t>Activity</w:t>
                  </w:r>
                  <w:r>
                    <w:rPr>
                      <w:b/>
                      <w:i/>
                    </w:rPr>
                    <w:tab/>
                  </w:r>
                </w:p>
              </w:tc>
              <w:tc>
                <w:tcPr>
                  <w:tcW w:w="1665" w:type="dxa"/>
                  <w:shd w:val="clear" w:color="auto" w:fill="auto"/>
                  <w:tcMar>
                    <w:top w:w="100" w:type="dxa"/>
                    <w:left w:w="100" w:type="dxa"/>
                    <w:bottom w:w="100" w:type="dxa"/>
                    <w:right w:w="100" w:type="dxa"/>
                  </w:tcMar>
                </w:tcPr>
                <w:p w:rsidR="0072721E" w:rsidRDefault="007F04EE">
                  <w:pPr>
                    <w:widowControl w:val="0"/>
                    <w:spacing w:after="0"/>
                    <w:ind w:left="0"/>
                    <w:rPr>
                      <w:b/>
                      <w:i/>
                    </w:rPr>
                  </w:pPr>
                  <w:r>
                    <w:rPr>
                      <w:b/>
                      <w:i/>
                    </w:rPr>
                    <w:t>Comments and Recommendations</w:t>
                  </w:r>
                </w:p>
              </w:tc>
            </w:tr>
            <w:tr w:rsidR="0072721E">
              <w:tc>
                <w:tcPr>
                  <w:tcW w:w="1570" w:type="dxa"/>
                  <w:shd w:val="clear" w:color="auto" w:fill="auto"/>
                  <w:tcMar>
                    <w:top w:w="100" w:type="dxa"/>
                    <w:left w:w="100" w:type="dxa"/>
                    <w:bottom w:w="100" w:type="dxa"/>
                    <w:right w:w="100" w:type="dxa"/>
                  </w:tcMar>
                </w:tcPr>
                <w:p w:rsidR="0072721E" w:rsidRDefault="007F04EE">
                  <w:pPr>
                    <w:widowControl w:val="0"/>
                    <w:spacing w:after="0"/>
                    <w:ind w:left="0"/>
                  </w:pPr>
                  <w:r>
                    <w:t>France</w:t>
                  </w:r>
                </w:p>
                <w:p w:rsidR="0072721E" w:rsidRDefault="007F04EE">
                  <w:pPr>
                    <w:widowControl w:val="0"/>
                    <w:spacing w:after="0"/>
                    <w:ind w:left="0"/>
                  </w:pPr>
                  <w:r>
                    <w:t>(IUU listed 10 December 2010)</w:t>
                  </w:r>
                </w:p>
              </w:tc>
              <w:tc>
                <w:tcPr>
                  <w:tcW w:w="1110"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Neptune (4LOG)</w:t>
                  </w:r>
                </w:p>
              </w:tc>
              <w:tc>
                <w:tcPr>
                  <w:tcW w:w="1455" w:type="dxa"/>
                  <w:shd w:val="clear" w:color="auto" w:fill="auto"/>
                  <w:tcMar>
                    <w:top w:w="100" w:type="dxa"/>
                    <w:left w:w="100" w:type="dxa"/>
                    <w:bottom w:w="100" w:type="dxa"/>
                    <w:right w:w="100" w:type="dxa"/>
                  </w:tcMar>
                </w:tcPr>
                <w:p w:rsidR="0072721E" w:rsidRDefault="007F04EE">
                  <w:pPr>
                    <w:widowControl w:val="0"/>
                    <w:spacing w:after="0"/>
                    <w:ind w:left="0"/>
                  </w:pPr>
                  <w:r>
                    <w:t>Unknown (Georgia)</w:t>
                  </w:r>
                </w:p>
              </w:tc>
              <w:tc>
                <w:tcPr>
                  <w:tcW w:w="1965" w:type="dxa"/>
                  <w:shd w:val="clear" w:color="auto" w:fill="auto"/>
                  <w:tcMar>
                    <w:top w:w="100" w:type="dxa"/>
                    <w:left w:w="100" w:type="dxa"/>
                    <w:bottom w:w="100" w:type="dxa"/>
                    <w:right w:w="100" w:type="dxa"/>
                  </w:tcMar>
                </w:tcPr>
                <w:p w:rsidR="0072721E" w:rsidRDefault="007F04EE">
                  <w:pPr>
                    <w:widowControl w:val="0"/>
                    <w:spacing w:after="0"/>
                    <w:ind w:left="0"/>
                  </w:pPr>
                  <w:r>
                    <w:t>Fishing on the high seas of the WCPFC Convention Area without being on the WCPFC Record of Fishing Vessels (CMM 2007-03-para. 3a)</w:t>
                  </w:r>
                </w:p>
              </w:tc>
              <w:tc>
                <w:tcPr>
                  <w:tcW w:w="1665" w:type="dxa"/>
                  <w:shd w:val="clear" w:color="auto" w:fill="auto"/>
                  <w:tcMar>
                    <w:top w:w="100" w:type="dxa"/>
                    <w:left w:w="100" w:type="dxa"/>
                    <w:bottom w:w="100" w:type="dxa"/>
                    <w:right w:w="100" w:type="dxa"/>
                  </w:tcMar>
                </w:tcPr>
                <w:p w:rsidR="0072721E" w:rsidRDefault="007F04EE">
                  <w:pPr>
                    <w:widowControl w:val="0"/>
                    <w:spacing w:after="0"/>
                    <w:ind w:left="0"/>
                  </w:pPr>
                  <w:r>
                    <w:t>Non-compliance with WCPFC measure.</w:t>
                  </w:r>
                </w:p>
                <w:p w:rsidR="0072721E" w:rsidRDefault="0072721E">
                  <w:pPr>
                    <w:widowControl w:val="0"/>
                    <w:spacing w:after="0"/>
                    <w:ind w:left="0"/>
                  </w:pPr>
                </w:p>
                <w:p w:rsidR="0072721E" w:rsidRDefault="007F04EE">
                  <w:pPr>
                    <w:widowControl w:val="0"/>
                    <w:spacing w:after="0"/>
                    <w:ind w:left="0"/>
                  </w:pPr>
                  <w:r>
                    <w:t xml:space="preserve">WCPFC Supplementary Note as at December 2015: Georgia has confirmed that the Neptune is no longer flying Georgia’s flag. </w:t>
                  </w:r>
                </w:p>
              </w:tc>
            </w:tr>
            <w:tr w:rsidR="0072721E">
              <w:tc>
                <w:tcPr>
                  <w:tcW w:w="1570" w:type="dxa"/>
                  <w:shd w:val="clear" w:color="auto" w:fill="auto"/>
                  <w:tcMar>
                    <w:top w:w="100" w:type="dxa"/>
                    <w:left w:w="100" w:type="dxa"/>
                    <w:bottom w:w="100" w:type="dxa"/>
                    <w:right w:w="100" w:type="dxa"/>
                  </w:tcMar>
                </w:tcPr>
                <w:p w:rsidR="0072721E" w:rsidRDefault="007F04EE">
                  <w:pPr>
                    <w:widowControl w:val="0"/>
                    <w:spacing w:after="0"/>
                    <w:ind w:left="0"/>
                  </w:pPr>
                  <w:r>
                    <w:t>United States (IUU listed 10 December 2010)</w:t>
                  </w:r>
                </w:p>
              </w:tc>
              <w:tc>
                <w:tcPr>
                  <w:tcW w:w="1110"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Fu Lien No 1 (4LIN2)</w:t>
                  </w:r>
                </w:p>
              </w:tc>
              <w:tc>
                <w:tcPr>
                  <w:tcW w:w="1455" w:type="dxa"/>
                  <w:shd w:val="clear" w:color="auto" w:fill="auto"/>
                  <w:tcMar>
                    <w:top w:w="100" w:type="dxa"/>
                    <w:left w:w="100" w:type="dxa"/>
                    <w:bottom w:w="100" w:type="dxa"/>
                    <w:right w:w="100" w:type="dxa"/>
                  </w:tcMar>
                </w:tcPr>
                <w:p w:rsidR="0072721E" w:rsidRDefault="007F04EE">
                  <w:pPr>
                    <w:widowControl w:val="0"/>
                    <w:spacing w:after="0"/>
                    <w:ind w:left="0"/>
                  </w:pPr>
                  <w:r>
                    <w:t>Unknown</w:t>
                  </w:r>
                </w:p>
                <w:p w:rsidR="0072721E" w:rsidRDefault="007F04EE">
                  <w:pPr>
                    <w:widowControl w:val="0"/>
                    <w:spacing w:after="0"/>
                    <w:ind w:left="0"/>
                  </w:pPr>
                  <w:r>
                    <w:t>(Georgia)</w:t>
                  </w:r>
                </w:p>
              </w:tc>
              <w:tc>
                <w:tcPr>
                  <w:tcW w:w="1965" w:type="dxa"/>
                  <w:shd w:val="clear" w:color="auto" w:fill="auto"/>
                  <w:tcMar>
                    <w:top w:w="100" w:type="dxa"/>
                    <w:left w:w="100" w:type="dxa"/>
                    <w:bottom w:w="100" w:type="dxa"/>
                    <w:right w:w="100" w:type="dxa"/>
                  </w:tcMar>
                </w:tcPr>
                <w:p w:rsidR="0072721E" w:rsidRDefault="007F04EE">
                  <w:pPr>
                    <w:widowControl w:val="0"/>
                    <w:spacing w:after="0"/>
                    <w:ind w:left="0"/>
                  </w:pPr>
                  <w:r>
                    <w:t>Without nationality and harvested species covered by the WCPFC Convention in the Convention Area (CMM 2007-03-para 3h)</w:t>
                  </w:r>
                </w:p>
              </w:tc>
              <w:tc>
                <w:tcPr>
                  <w:tcW w:w="1665" w:type="dxa"/>
                  <w:shd w:val="clear" w:color="auto" w:fill="auto"/>
                  <w:tcMar>
                    <w:top w:w="100" w:type="dxa"/>
                    <w:left w:w="100" w:type="dxa"/>
                    <w:bottom w:w="100" w:type="dxa"/>
                    <w:right w:w="100" w:type="dxa"/>
                  </w:tcMar>
                </w:tcPr>
                <w:p w:rsidR="0072721E" w:rsidRDefault="007F04EE">
                  <w:pPr>
                    <w:widowControl w:val="0"/>
                    <w:spacing w:after="0"/>
                    <w:ind w:left="0"/>
                  </w:pPr>
                  <w:r>
                    <w:t>Non-compliance with WCPFC measure.</w:t>
                  </w:r>
                </w:p>
                <w:p w:rsidR="0072721E" w:rsidRDefault="0072721E">
                  <w:pPr>
                    <w:widowControl w:val="0"/>
                    <w:spacing w:after="0"/>
                    <w:ind w:left="0"/>
                  </w:pPr>
                </w:p>
                <w:p w:rsidR="0072721E" w:rsidRDefault="007F04EE">
                  <w:pPr>
                    <w:widowControl w:val="0"/>
                    <w:spacing w:after="0"/>
                    <w:ind w:left="0"/>
                  </w:pPr>
                  <w:r>
                    <w:t xml:space="preserve">WCPFC Supplementary Note as at December 2015: Georgia has confirmed that the Fu Lien No 1 is no longer flying Georgia’s flag. </w:t>
                  </w:r>
                </w:p>
                <w:p w:rsidR="0072721E" w:rsidRDefault="0072721E">
                  <w:pPr>
                    <w:widowControl w:val="0"/>
                    <w:spacing w:after="0"/>
                    <w:ind w:left="0"/>
                  </w:pPr>
                </w:p>
              </w:tc>
            </w:tr>
            <w:tr w:rsidR="0072721E">
              <w:tc>
                <w:tcPr>
                  <w:tcW w:w="1570" w:type="dxa"/>
                  <w:shd w:val="clear" w:color="auto" w:fill="auto"/>
                  <w:tcMar>
                    <w:top w:w="100" w:type="dxa"/>
                    <w:left w:w="100" w:type="dxa"/>
                    <w:bottom w:w="100" w:type="dxa"/>
                    <w:right w:w="100" w:type="dxa"/>
                  </w:tcMar>
                </w:tcPr>
                <w:p w:rsidR="0072721E" w:rsidRDefault="007F04EE">
                  <w:pPr>
                    <w:widowControl w:val="0"/>
                    <w:spacing w:after="0"/>
                    <w:ind w:left="0"/>
                  </w:pPr>
                  <w:r>
                    <w:t xml:space="preserve">Republic of the Marshall Islands </w:t>
                  </w:r>
                </w:p>
                <w:p w:rsidR="0072721E" w:rsidRDefault="007F04EE">
                  <w:pPr>
                    <w:widowControl w:val="0"/>
                    <w:spacing w:after="0"/>
                    <w:ind w:left="0"/>
                  </w:pPr>
                  <w:r>
                    <w:t>(IUU listed 11 December 2009)</w:t>
                  </w:r>
                </w:p>
              </w:tc>
              <w:tc>
                <w:tcPr>
                  <w:tcW w:w="1110" w:type="dxa"/>
                  <w:shd w:val="clear" w:color="auto" w:fill="auto"/>
                  <w:tcMar>
                    <w:top w:w="100" w:type="dxa"/>
                    <w:left w:w="100" w:type="dxa"/>
                    <w:bottom w:w="100" w:type="dxa"/>
                    <w:right w:w="100" w:type="dxa"/>
                  </w:tcMar>
                </w:tcPr>
                <w:p w:rsidR="0072721E" w:rsidRDefault="007F04EE">
                  <w:pPr>
                    <w:widowControl w:val="0"/>
                    <w:spacing w:after="0"/>
                    <w:ind w:left="0"/>
                    <w:rPr>
                      <w:b/>
                    </w:rPr>
                  </w:pPr>
                  <w:r>
                    <w:rPr>
                      <w:b/>
                    </w:rPr>
                    <w:t>Yu Fong 168 (BJ4786)</w:t>
                  </w:r>
                </w:p>
              </w:tc>
              <w:tc>
                <w:tcPr>
                  <w:tcW w:w="1455" w:type="dxa"/>
                  <w:shd w:val="clear" w:color="auto" w:fill="auto"/>
                  <w:tcMar>
                    <w:top w:w="100" w:type="dxa"/>
                    <w:left w:w="100" w:type="dxa"/>
                    <w:bottom w:w="100" w:type="dxa"/>
                    <w:right w:w="100" w:type="dxa"/>
                  </w:tcMar>
                </w:tcPr>
                <w:p w:rsidR="0072721E" w:rsidRDefault="007F04EE">
                  <w:pPr>
                    <w:widowControl w:val="0"/>
                    <w:spacing w:after="0"/>
                    <w:ind w:left="0"/>
                  </w:pPr>
                  <w:r>
                    <w:t>Unknown</w:t>
                  </w:r>
                </w:p>
                <w:p w:rsidR="0072721E" w:rsidRDefault="007F04EE">
                  <w:pPr>
                    <w:widowControl w:val="0"/>
                    <w:spacing w:after="0"/>
                    <w:ind w:left="0"/>
                  </w:pPr>
                  <w:r>
                    <w:t>(Chinese Taipei)</w:t>
                  </w:r>
                  <w:r>
                    <w:tab/>
                  </w:r>
                </w:p>
              </w:tc>
              <w:tc>
                <w:tcPr>
                  <w:tcW w:w="1965" w:type="dxa"/>
                  <w:shd w:val="clear" w:color="auto" w:fill="auto"/>
                  <w:tcMar>
                    <w:top w:w="100" w:type="dxa"/>
                    <w:left w:w="100" w:type="dxa"/>
                    <w:bottom w:w="100" w:type="dxa"/>
                    <w:right w:w="100" w:type="dxa"/>
                  </w:tcMar>
                </w:tcPr>
                <w:p w:rsidR="0072721E" w:rsidRDefault="007F04EE">
                  <w:pPr>
                    <w:widowControl w:val="0"/>
                    <w:spacing w:after="0"/>
                    <w:ind w:left="0"/>
                  </w:pPr>
                  <w:r>
                    <w:t>Fishing in the Exclusive Economic Zone of the Republic of the Marshall Islands without permission and in contravention of the laws and regulations of the Republic of the Marshall Islands (CMM 2007-03-para 3b)</w:t>
                  </w:r>
                </w:p>
              </w:tc>
              <w:tc>
                <w:tcPr>
                  <w:tcW w:w="1665" w:type="dxa"/>
                  <w:shd w:val="clear" w:color="auto" w:fill="auto"/>
                  <w:tcMar>
                    <w:top w:w="100" w:type="dxa"/>
                    <w:left w:w="100" w:type="dxa"/>
                    <w:bottom w:w="100" w:type="dxa"/>
                    <w:right w:w="100" w:type="dxa"/>
                  </w:tcMar>
                </w:tcPr>
                <w:p w:rsidR="0072721E" w:rsidRDefault="007F04EE">
                  <w:pPr>
                    <w:widowControl w:val="0"/>
                    <w:spacing w:after="0"/>
                    <w:ind w:left="0"/>
                  </w:pPr>
                  <w:r>
                    <w:t>WCPFC Supplementary Note as at December 2015: Chinese Taipei confirmed that with respect to Yu Fong 168, the license was revoked in 2009, and the owner of the vessel has been penalised through repeated monetary punishment for violating the rules of not returning to port. Chinese Taipei further advised that the most recent information was received in 2013 from Thailand’s notification to IOTC that the vessel landed their catches in the port of Phuket.</w:t>
                  </w:r>
                </w:p>
                <w:p w:rsidR="0072721E" w:rsidRDefault="0072721E">
                  <w:pPr>
                    <w:widowControl w:val="0"/>
                    <w:spacing w:after="0"/>
                    <w:ind w:left="0"/>
                  </w:pPr>
                </w:p>
                <w:p w:rsidR="0072721E" w:rsidRDefault="007F04EE">
                  <w:pPr>
                    <w:widowControl w:val="0"/>
                    <w:spacing w:after="0"/>
                    <w:ind w:left="0"/>
                  </w:pPr>
                  <w:r>
                    <w:t xml:space="preserve">Chinese Taipei’s advice as at September 2017 (TCC13): Chinese Taipei advised that it had no additional information on the location of Yu Fong 168, and that the vessel was no longer registered to Chinese Taipei. </w:t>
                  </w:r>
                </w:p>
                <w:p w:rsidR="0072721E" w:rsidRDefault="0072721E">
                  <w:pPr>
                    <w:widowControl w:val="0"/>
                    <w:spacing w:after="0"/>
                    <w:ind w:left="0"/>
                  </w:pPr>
                </w:p>
                <w:p w:rsidR="0072721E" w:rsidRDefault="007F04EE">
                  <w:pPr>
                    <w:widowControl w:val="0"/>
                    <w:spacing w:after="0"/>
                    <w:ind w:left="0"/>
                  </w:pPr>
                  <w:r>
                    <w:t>WCPFC Supplementary Note as at December 2017: On 17 November 2017, WCPFC received a communication from Chinese Taipei informing WCPFC that Yu Fong 168 has been deregistered by Chinese Taipei.</w:t>
                  </w:r>
                </w:p>
                <w:p w:rsidR="0072721E" w:rsidRDefault="0072721E">
                  <w:pPr>
                    <w:widowControl w:val="0"/>
                    <w:spacing w:after="0"/>
                    <w:ind w:left="0"/>
                  </w:pPr>
                </w:p>
                <w:p w:rsidR="0072721E" w:rsidRDefault="007F04EE">
                  <w:pPr>
                    <w:widowControl w:val="0"/>
                    <w:spacing w:after="0"/>
                    <w:ind w:left="0"/>
                  </w:pPr>
                  <w:r>
                    <w:t>On 29 April 2020, WCPFC received additional information from Chinese Taipei informing of the master of the Yu Fong 168 at the time of the IUU fishing activity.</w:t>
                  </w:r>
                </w:p>
                <w:p w:rsidR="0072721E" w:rsidRDefault="0072721E">
                  <w:pPr>
                    <w:widowControl w:val="0"/>
                    <w:spacing w:after="0"/>
                    <w:ind w:left="0"/>
                  </w:pPr>
                </w:p>
              </w:tc>
            </w:tr>
          </w:tbl>
          <w:p w:rsidR="0072721E" w:rsidRDefault="0072721E">
            <w:pPr>
              <w:widowControl w:val="0"/>
              <w:numPr>
                <w:ilvl w:val="0"/>
                <w:numId w:val="23"/>
              </w:numPr>
              <w:spacing w:after="0"/>
            </w:pPr>
          </w:p>
        </w:tc>
      </w:tr>
      <w:tr w:rsidR="0072721E">
        <w:tc>
          <w:tcPr>
            <w:tcW w:w="2340" w:type="dxa"/>
            <w:shd w:val="clear" w:color="auto" w:fill="D9EAD3"/>
            <w:tcMar>
              <w:top w:w="100" w:type="dxa"/>
              <w:left w:w="100" w:type="dxa"/>
              <w:bottom w:w="100" w:type="dxa"/>
              <w:right w:w="100" w:type="dxa"/>
            </w:tcMar>
          </w:tcPr>
          <w:p w:rsidR="0072721E" w:rsidRDefault="007F04EE">
            <w:pPr>
              <w:widowControl w:val="0"/>
              <w:spacing w:after="0"/>
              <w:ind w:left="0"/>
              <w:rPr>
                <w:b/>
              </w:rPr>
            </w:pPr>
            <w:r>
              <w:rPr>
                <w:b/>
              </w:rPr>
              <w:t>Key Points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TCC17 recommended to WCPFC18 that the three fishing vessels NEPTUNE, FU LIEN No.1 and YU FONG 168 on the WCPFC IUU Vessel List in 2021 remain on that list for 2022.</w:t>
            </w:r>
          </w:p>
          <w:p w:rsidR="0072721E" w:rsidRDefault="0072721E">
            <w:pPr>
              <w:widowControl w:val="0"/>
              <w:spacing w:after="0"/>
              <w:ind w:left="0"/>
            </w:pPr>
          </w:p>
          <w:p w:rsidR="0072721E" w:rsidRDefault="007F04EE">
            <w:pPr>
              <w:widowControl w:val="0"/>
              <w:spacing w:after="0"/>
              <w:ind w:left="0"/>
            </w:pPr>
            <w:r>
              <w:t xml:space="preserve">At TCC17, Chinese Taipei was specifically requested to provide information relating to the ownership of fishing vessels currently on the IUU List. If the ownership linkages with companies in Chinese Taipei are confirmed, then the issues of beneficial ownership and control of nationals come to the fore. </w:t>
            </w:r>
          </w:p>
        </w:tc>
      </w:tr>
      <w:tr w:rsidR="0072721E">
        <w:trPr>
          <w:trHeight w:val="1470"/>
        </w:trPr>
        <w:tc>
          <w:tcPr>
            <w:tcW w:w="2340" w:type="dxa"/>
            <w:shd w:val="clear" w:color="auto" w:fill="FCE5CD"/>
            <w:tcMar>
              <w:top w:w="100" w:type="dxa"/>
              <w:left w:w="100" w:type="dxa"/>
              <w:bottom w:w="100" w:type="dxa"/>
              <w:right w:w="100" w:type="dxa"/>
            </w:tcMar>
          </w:tcPr>
          <w:p w:rsidR="0072721E" w:rsidRDefault="007F04EE">
            <w:pPr>
              <w:widowControl w:val="0"/>
              <w:spacing w:after="0"/>
              <w:ind w:left="0"/>
              <w:rPr>
                <w:b/>
              </w:rPr>
            </w:pPr>
            <w:r>
              <w:rPr>
                <w:b/>
              </w:rPr>
              <w:t>Recommendations</w:t>
            </w:r>
          </w:p>
        </w:tc>
        <w:tc>
          <w:tcPr>
            <w:tcW w:w="7965" w:type="dxa"/>
            <w:shd w:val="clear" w:color="auto" w:fill="auto"/>
            <w:tcMar>
              <w:top w:w="100" w:type="dxa"/>
              <w:left w:w="100" w:type="dxa"/>
              <w:bottom w:w="100" w:type="dxa"/>
              <w:right w:w="100" w:type="dxa"/>
            </w:tcMar>
          </w:tcPr>
          <w:p w:rsidR="0072721E" w:rsidRDefault="007F04EE">
            <w:pPr>
              <w:widowControl w:val="0"/>
              <w:spacing w:after="0"/>
              <w:ind w:left="0"/>
            </w:pPr>
            <w:r>
              <w:t>Support the retention of the three fishing vessels NEPTUNE, FU LIEN No.1 and YU FONG 168 currently on the WCPFC IUU Vessel List in 2021 on that list for 2022.</w:t>
            </w:r>
          </w:p>
          <w:p w:rsidR="0072721E" w:rsidRDefault="0072721E">
            <w:pPr>
              <w:widowControl w:val="0"/>
              <w:spacing w:after="0"/>
              <w:ind w:left="0"/>
            </w:pPr>
          </w:p>
          <w:p w:rsidR="0072721E" w:rsidRDefault="007F04EE">
            <w:pPr>
              <w:widowControl w:val="0"/>
              <w:spacing w:after="0"/>
              <w:ind w:left="0"/>
            </w:pPr>
            <w:r>
              <w:t>Follow up with Chinese Taipei on the specific questions requested during TCC17.</w:t>
            </w:r>
          </w:p>
          <w:p w:rsidR="0072721E" w:rsidRDefault="0072721E">
            <w:pPr>
              <w:widowControl w:val="0"/>
              <w:spacing w:after="0"/>
              <w:ind w:left="0"/>
            </w:pPr>
          </w:p>
          <w:p w:rsidR="0072721E" w:rsidRDefault="007F04EE">
            <w:pPr>
              <w:widowControl w:val="0"/>
              <w:spacing w:after="0"/>
              <w:ind w:left="0"/>
            </w:pPr>
            <w:r>
              <w:t>[Depending on the response from Chinese Taipei, re-introduce FFA position on beneficial ownership etc.]</w:t>
            </w:r>
          </w:p>
        </w:tc>
      </w:tr>
    </w:tbl>
    <w:p w:rsidR="0072721E" w:rsidRDefault="0072721E">
      <w:pPr>
        <w:ind w:left="0"/>
      </w:pPr>
    </w:p>
    <w:p w:rsidR="0072721E" w:rsidRDefault="0072721E"/>
    <w:p w:rsidR="0072721E" w:rsidRDefault="007F04EE">
      <w:pPr>
        <w:pStyle w:val="Heading1"/>
        <w:spacing w:after="200"/>
        <w:rPr>
          <w:rFonts w:ascii="Times New Roman" w:eastAsia="Times New Roman" w:hAnsi="Times New Roman" w:cs="Times New Roman"/>
          <w:b w:val="0"/>
          <w:color w:val="000000"/>
          <w:sz w:val="24"/>
          <w:szCs w:val="24"/>
        </w:rPr>
      </w:pPr>
      <w:bookmarkStart w:id="65" w:name="_2iq8gzs" w:colFirst="0" w:colLast="0"/>
      <w:bookmarkEnd w:id="65"/>
      <w:r>
        <w:t>AGENDA ITEM 12</w:t>
      </w:r>
      <w:r>
        <w:tab/>
        <w:t>REPORT OF THE FAC15</w:t>
      </w:r>
    </w:p>
    <w:p w:rsidR="0072721E" w:rsidRDefault="007F04EE">
      <w:pPr>
        <w:pStyle w:val="Heading2"/>
        <w:ind w:left="357"/>
      </w:pPr>
      <w:bookmarkStart w:id="66" w:name="_8p9zlo22qf22" w:colFirst="0" w:colLast="0"/>
      <w:bookmarkEnd w:id="66"/>
      <w:r>
        <w:t>12.1 Report of the Fifteenth Finance and Administration Committee</w:t>
      </w:r>
    </w:p>
    <w:p w:rsidR="0072721E" w:rsidRDefault="007F04EE">
      <w:pPr>
        <w:ind w:left="357"/>
      </w:pPr>
      <w:r>
        <w:rPr>
          <w:i/>
          <w:sz w:val="18"/>
          <w:szCs w:val="18"/>
        </w:rPr>
        <w:t>The Commission will receive and consider a brief summary of the FAC15 Report.</w:t>
      </w:r>
    </w:p>
    <w:p w:rsidR="0072721E" w:rsidRDefault="007F04EE">
      <w:pPr>
        <w:pStyle w:val="Heading2"/>
        <w:ind w:left="357"/>
      </w:pPr>
      <w:bookmarkStart w:id="67" w:name="_ckcehreiapw8" w:colFirst="0" w:colLast="0"/>
      <w:bookmarkEnd w:id="67"/>
      <w:r>
        <w:t>12.2 Budget for 2022 and Indicative Budgets for 2023 and 2024</w:t>
      </w:r>
    </w:p>
    <w:p w:rsidR="0072721E" w:rsidRDefault="007F04EE">
      <w:pPr>
        <w:ind w:left="357"/>
        <w:rPr>
          <w:i/>
          <w:sz w:val="18"/>
          <w:szCs w:val="18"/>
        </w:rPr>
      </w:pPr>
      <w:r>
        <w:rPr>
          <w:i/>
          <w:sz w:val="18"/>
          <w:szCs w:val="18"/>
        </w:rPr>
        <w:t>The Commission will consider for adoption the Budget for 2022 and indicative budgets for 2023 and 2024</w:t>
      </w:r>
    </w:p>
    <w:p w:rsidR="0072721E" w:rsidRDefault="0072721E">
      <w:pPr>
        <w:pBdr>
          <w:top w:val="nil"/>
          <w:left w:val="nil"/>
          <w:bottom w:val="nil"/>
          <w:right w:val="nil"/>
          <w:between w:val="nil"/>
        </w:pBdr>
        <w:ind w:left="357" w:hanging="357"/>
        <w:rPr>
          <w:smallCaps/>
          <w:highlight w:val="yellow"/>
        </w:rPr>
      </w:pPr>
    </w:p>
    <w:tbl>
      <w:tblPr>
        <w:tblStyle w:val="affa"/>
        <w:tblW w:w="10110" w:type="dxa"/>
        <w:tblInd w:w="1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10"/>
      </w:tblGrid>
      <w:tr w:rsidR="0072721E">
        <w:tc>
          <w:tcPr>
            <w:tcW w:w="10110" w:type="dxa"/>
            <w:shd w:val="clear" w:color="auto" w:fill="auto"/>
            <w:tcMar>
              <w:top w:w="100" w:type="dxa"/>
              <w:left w:w="100" w:type="dxa"/>
              <w:bottom w:w="100" w:type="dxa"/>
              <w:right w:w="100" w:type="dxa"/>
            </w:tcMar>
          </w:tcPr>
          <w:p w:rsidR="0072721E" w:rsidRDefault="007F04EE">
            <w:pPr>
              <w:pStyle w:val="Heading2"/>
              <w:tabs>
                <w:tab w:val="center" w:pos="4961"/>
              </w:tabs>
              <w:ind w:left="0"/>
              <w:jc w:val="left"/>
              <w:rPr>
                <w:sz w:val="30"/>
                <w:szCs w:val="30"/>
              </w:rPr>
            </w:pPr>
            <w:bookmarkStart w:id="68" w:name="_h30cp62ow3dm" w:colFirst="0" w:colLast="0"/>
            <w:bookmarkEnd w:id="68"/>
            <w:r>
              <w:rPr>
                <w:sz w:val="30"/>
                <w:szCs w:val="30"/>
              </w:rPr>
              <w:t xml:space="preserve">FFA FAC BRIEF </w:t>
            </w:r>
          </w:p>
          <w:p w:rsidR="0072721E" w:rsidRDefault="007F04EE">
            <w:pPr>
              <w:spacing w:after="0"/>
              <w:ind w:left="0"/>
              <w:jc w:val="center"/>
              <w:rPr>
                <w:b/>
              </w:rPr>
            </w:pPr>
            <w:r>
              <w:t xml:space="preserve">FOR THE </w:t>
            </w:r>
          </w:p>
          <w:p w:rsidR="0072721E" w:rsidRDefault="007F04EE">
            <w:pPr>
              <w:spacing w:after="0"/>
              <w:ind w:left="0"/>
              <w:jc w:val="center"/>
              <w:rPr>
                <w:b/>
                <w:sz w:val="24"/>
                <w:szCs w:val="24"/>
              </w:rPr>
            </w:pPr>
            <w:r>
              <w:rPr>
                <w:b/>
                <w:sz w:val="24"/>
                <w:szCs w:val="24"/>
              </w:rPr>
              <w:t xml:space="preserve">FIFTEENTH  REGULAR SESSION </w:t>
            </w:r>
          </w:p>
          <w:p w:rsidR="0072721E" w:rsidRDefault="007F04EE">
            <w:pPr>
              <w:spacing w:after="0"/>
              <w:ind w:left="0"/>
              <w:jc w:val="center"/>
              <w:rPr>
                <w:b/>
              </w:rPr>
            </w:pPr>
            <w:r>
              <w:t xml:space="preserve">OF THE </w:t>
            </w:r>
          </w:p>
          <w:p w:rsidR="0072721E" w:rsidRDefault="007F04EE">
            <w:pPr>
              <w:spacing w:after="0"/>
              <w:ind w:left="0"/>
              <w:jc w:val="center"/>
              <w:rPr>
                <w:b/>
                <w:sz w:val="24"/>
                <w:szCs w:val="24"/>
              </w:rPr>
            </w:pPr>
            <w:r>
              <w:rPr>
                <w:b/>
                <w:sz w:val="24"/>
                <w:szCs w:val="24"/>
              </w:rPr>
              <w:t>FINANCE AND ADMINISTRATION COMMITTEE (FAC)</w:t>
            </w:r>
          </w:p>
          <w:p w:rsidR="0072721E" w:rsidRDefault="0072721E">
            <w:pPr>
              <w:spacing w:after="0"/>
              <w:ind w:left="0"/>
              <w:jc w:val="center"/>
              <w:rPr>
                <w:b/>
                <w:sz w:val="20"/>
                <w:szCs w:val="20"/>
              </w:rPr>
            </w:pPr>
          </w:p>
          <w:p w:rsidR="0072721E" w:rsidRDefault="007F04EE">
            <w:pPr>
              <w:spacing w:after="0"/>
              <w:ind w:left="0"/>
              <w:jc w:val="center"/>
            </w:pPr>
            <w:r>
              <w:t xml:space="preserve">Virtual meeting </w:t>
            </w:r>
          </w:p>
          <w:p w:rsidR="0072721E" w:rsidRDefault="007F04EE">
            <w:pPr>
              <w:spacing w:after="0"/>
              <w:ind w:left="0"/>
              <w:jc w:val="center"/>
            </w:pPr>
            <w:r>
              <w:t>Monday 29 November 2021</w:t>
            </w:r>
          </w:p>
          <w:p w:rsidR="0072721E" w:rsidRDefault="007F04EE">
            <w:pPr>
              <w:spacing w:after="0"/>
              <w:ind w:left="0"/>
              <w:jc w:val="center"/>
            </w:pPr>
            <w:r>
              <w:t xml:space="preserve">10:00 – 14:00 (Pohnpei Time) </w:t>
            </w:r>
          </w:p>
          <w:p w:rsidR="0072721E" w:rsidRDefault="0072721E">
            <w:pPr>
              <w:spacing w:after="0"/>
              <w:ind w:left="0"/>
              <w:rPr>
                <w:b/>
                <w:sz w:val="18"/>
                <w:szCs w:val="18"/>
              </w:rPr>
            </w:pPr>
          </w:p>
          <w:p w:rsidR="0072721E" w:rsidRDefault="0072721E">
            <w:pPr>
              <w:spacing w:after="0"/>
              <w:ind w:left="0"/>
              <w:rPr>
                <w:b/>
                <w:sz w:val="20"/>
                <w:szCs w:val="20"/>
                <w:highlight w:val="yellow"/>
              </w:rPr>
            </w:pPr>
          </w:p>
          <w:p w:rsidR="0072721E" w:rsidRDefault="007F04EE">
            <w:pPr>
              <w:spacing w:after="0"/>
              <w:ind w:left="0"/>
              <w:rPr>
                <w:b/>
              </w:rPr>
            </w:pPr>
            <w:r>
              <w:rPr>
                <w:b/>
              </w:rPr>
              <w:t xml:space="preserve">Introduction </w:t>
            </w:r>
          </w:p>
          <w:p w:rsidR="0072721E" w:rsidRDefault="007F04EE">
            <w:pPr>
              <w:spacing w:after="0"/>
              <w:ind w:left="0"/>
            </w:pPr>
            <w:r>
              <w:t xml:space="preserve">FAC15 will be convened on Monday 29 November 2021 at 10am by FAC co-Chair Michael Brakke (US).  This brief provides FFA Members advice on key issues to consider as outlined in the provisional annotated agenda FAC15-02. </w:t>
            </w:r>
          </w:p>
          <w:p w:rsidR="0072721E" w:rsidRDefault="0072721E">
            <w:pPr>
              <w:spacing w:after="0"/>
              <w:ind w:left="0"/>
            </w:pPr>
          </w:p>
          <w:p w:rsidR="0072721E" w:rsidRDefault="007F04EE">
            <w:pPr>
              <w:spacing w:after="0"/>
              <w:ind w:left="0"/>
              <w:rPr>
                <w:b/>
              </w:rPr>
            </w:pPr>
            <w:r>
              <w:t xml:space="preserve">Members are strongly encouraged to attend FAC meetings. While the subjects considered by FAC might not be as attention grabbing as other Commission agenda items, FAC has an important role in setting administrative and fiscal policy and setting budgets, all of which can have a significant bearing on the work of the Commission. </w:t>
            </w:r>
          </w:p>
          <w:p w:rsidR="0072721E" w:rsidRDefault="0072721E">
            <w:pPr>
              <w:spacing w:after="0"/>
              <w:ind w:left="0"/>
            </w:pPr>
          </w:p>
          <w:p w:rsidR="0072721E" w:rsidRDefault="007F04EE">
            <w:pPr>
              <w:spacing w:after="0"/>
              <w:ind w:left="0"/>
              <w:jc w:val="left"/>
              <w:rPr>
                <w:b/>
                <w:sz w:val="24"/>
                <w:szCs w:val="24"/>
              </w:rPr>
            </w:pPr>
            <w:r>
              <w:rPr>
                <w:b/>
                <w:sz w:val="24"/>
                <w:szCs w:val="24"/>
              </w:rPr>
              <w:t xml:space="preserve">AGENDA ITEM 1. OPENING OF MEETING </w:t>
            </w:r>
          </w:p>
          <w:p w:rsidR="0072721E" w:rsidRDefault="0072721E">
            <w:pPr>
              <w:spacing w:after="0"/>
              <w:ind w:left="0"/>
              <w:jc w:val="left"/>
              <w:rPr>
                <w:b/>
              </w:rPr>
            </w:pPr>
          </w:p>
          <w:p w:rsidR="0072721E" w:rsidRDefault="007F04EE">
            <w:pPr>
              <w:numPr>
                <w:ilvl w:val="1"/>
                <w:numId w:val="46"/>
              </w:numPr>
              <w:spacing w:after="0"/>
              <w:rPr>
                <w:b/>
              </w:rPr>
            </w:pPr>
            <w:r>
              <w:rPr>
                <w:b/>
              </w:rPr>
              <w:t xml:space="preserve">Adoption of agenda </w:t>
            </w:r>
          </w:p>
          <w:p w:rsidR="0072721E" w:rsidRDefault="007F04EE">
            <w:pPr>
              <w:spacing w:line="276" w:lineRule="auto"/>
              <w:ind w:left="0"/>
              <w:jc w:val="left"/>
              <w:rPr>
                <w:i/>
              </w:rPr>
            </w:pPr>
            <w:r>
              <w:rPr>
                <w:b/>
              </w:rPr>
              <w:t>FFA Comment:</w:t>
            </w:r>
            <w:r>
              <w:t xml:space="preserve"> </w:t>
            </w:r>
            <w:r>
              <w:rPr>
                <w:i/>
              </w:rPr>
              <w:t xml:space="preserve">Ref: </w:t>
            </w:r>
            <w:hyperlink r:id="rId152">
              <w:r>
                <w:rPr>
                  <w:i/>
                  <w:color w:val="1155CC"/>
                  <w:u w:val="single"/>
                </w:rPr>
                <w:t>FAC15-01</w:t>
              </w:r>
            </w:hyperlink>
            <w:r>
              <w:rPr>
                <w:i/>
              </w:rPr>
              <w:t xml:space="preserve"> Provisional Agenda and FAC15-02 Provisional Annotated Agenda</w:t>
            </w:r>
          </w:p>
          <w:p w:rsidR="0072721E" w:rsidRDefault="007F04EE">
            <w:pPr>
              <w:spacing w:line="276" w:lineRule="auto"/>
              <w:ind w:left="0"/>
              <w:jc w:val="left"/>
              <w:rPr>
                <w:b/>
              </w:rPr>
            </w:pPr>
            <w:r>
              <w:t xml:space="preserve">No issues identified. But if members would like to propose any changes, issues should be raised here before adoption of the agenda. </w:t>
            </w:r>
          </w:p>
          <w:p w:rsidR="0072721E" w:rsidRDefault="007F04EE">
            <w:pPr>
              <w:spacing w:after="0"/>
              <w:ind w:left="0"/>
            </w:pPr>
            <w:r>
              <w:rPr>
                <w:b/>
              </w:rPr>
              <w:t xml:space="preserve">1.2 Meeting arrangements </w:t>
            </w:r>
          </w:p>
          <w:p w:rsidR="0072721E" w:rsidRDefault="007F04EE">
            <w:pPr>
              <w:spacing w:line="276" w:lineRule="auto"/>
              <w:ind w:left="0"/>
              <w:rPr>
                <w:i/>
              </w:rPr>
            </w:pPr>
            <w:r>
              <w:rPr>
                <w:b/>
              </w:rPr>
              <w:t>FFA Comment:</w:t>
            </w:r>
            <w:r>
              <w:t xml:space="preserve"> </w:t>
            </w:r>
            <w:r>
              <w:rPr>
                <w:i/>
              </w:rPr>
              <w:t>Ref: FAC15-03 Indicative Schedule</w:t>
            </w:r>
          </w:p>
          <w:p w:rsidR="0072721E" w:rsidRDefault="007F04EE">
            <w:pPr>
              <w:spacing w:line="276" w:lineRule="auto"/>
              <w:ind w:left="0"/>
            </w:pPr>
            <w:r>
              <w:t>FAC15 convenes on 29 November for its most substantive meeting, and will likely meet again in the margins of WCPFC18, to discuss and incorporate Commission decisions that include cost implications. Members should note that subsequent sessions do not require a quorum, and as such Members should ensure FFA representation so that any policies and fiscal decisions made incorporate FFA interests.</w:t>
            </w:r>
          </w:p>
          <w:p w:rsidR="0072721E" w:rsidRDefault="0072721E">
            <w:pPr>
              <w:spacing w:after="0"/>
              <w:ind w:left="0"/>
              <w:rPr>
                <w:b/>
                <w:highlight w:val="yellow"/>
              </w:rPr>
            </w:pPr>
          </w:p>
          <w:p w:rsidR="0072721E" w:rsidRDefault="007F04EE">
            <w:pPr>
              <w:spacing w:after="0"/>
              <w:ind w:left="0"/>
              <w:rPr>
                <w:b/>
                <w:sz w:val="24"/>
                <w:szCs w:val="24"/>
              </w:rPr>
            </w:pPr>
            <w:r>
              <w:rPr>
                <w:b/>
                <w:sz w:val="24"/>
                <w:szCs w:val="24"/>
              </w:rPr>
              <w:t>AGENDA ITEM 2. AUDITS</w:t>
            </w:r>
          </w:p>
          <w:p w:rsidR="0072721E" w:rsidRDefault="007F04EE">
            <w:pPr>
              <w:spacing w:after="0"/>
              <w:ind w:left="0"/>
            </w:pPr>
            <w:r>
              <w:rPr>
                <w:b/>
              </w:rPr>
              <w:t xml:space="preserve"> </w:t>
            </w:r>
          </w:p>
          <w:p w:rsidR="0072721E" w:rsidRDefault="007F04EE">
            <w:pPr>
              <w:spacing w:after="0"/>
              <w:ind w:left="0"/>
              <w:rPr>
                <w:b/>
              </w:rPr>
            </w:pPr>
            <w:r>
              <w:rPr>
                <w:b/>
              </w:rPr>
              <w:t>2.1 Auditor Report for 2020 and General Account Financial Statements for 2020</w:t>
            </w:r>
          </w:p>
          <w:p w:rsidR="0072721E" w:rsidRDefault="007F04EE">
            <w:pPr>
              <w:spacing w:line="276" w:lineRule="auto"/>
              <w:ind w:left="0"/>
              <w:jc w:val="left"/>
              <w:rPr>
                <w:i/>
              </w:rPr>
            </w:pPr>
            <w:r>
              <w:rPr>
                <w:b/>
              </w:rPr>
              <w:t>FFA Comment:</w:t>
            </w:r>
            <w:r>
              <w:t xml:space="preserve"> </w:t>
            </w:r>
            <w:r>
              <w:rPr>
                <w:i/>
              </w:rPr>
              <w:t xml:space="preserve">Ref: </w:t>
            </w:r>
            <w:hyperlink r:id="rId153">
              <w:r>
                <w:rPr>
                  <w:i/>
                  <w:color w:val="1155CC"/>
                  <w:u w:val="single"/>
                </w:rPr>
                <w:t>FAC15-04</w:t>
              </w:r>
            </w:hyperlink>
            <w:r>
              <w:rPr>
                <w:i/>
              </w:rPr>
              <w:t xml:space="preserve"> The Auditor’s Report for 2020 and the General Account Fund financial statements for 2020</w:t>
            </w:r>
          </w:p>
          <w:p w:rsidR="0072721E" w:rsidRDefault="007F04EE">
            <w:pPr>
              <w:spacing w:line="276" w:lineRule="auto"/>
              <w:ind w:left="0"/>
            </w:pPr>
            <w:r>
              <w:t>FAC15-05 presents an unqualified audit and compliance report of the WCPFC accounts.  After the Commission’s consideration, Financial Regulation 13 requires that the Commission signals its acceptance (or not) of the audited financial reports.  No issues have been identified in the report and, as such, the report should be accepted.</w:t>
            </w:r>
          </w:p>
          <w:p w:rsidR="0072721E" w:rsidRDefault="007F04EE">
            <w:pPr>
              <w:spacing w:after="0"/>
              <w:ind w:left="0"/>
              <w:rPr>
                <w:b/>
                <w:highlight w:val="yellow"/>
              </w:rPr>
            </w:pPr>
            <w:r>
              <w:rPr>
                <w:b/>
                <w:highlight w:val="yellow"/>
              </w:rPr>
              <w:t xml:space="preserve">  </w:t>
            </w:r>
          </w:p>
          <w:p w:rsidR="0072721E" w:rsidRDefault="007F04EE">
            <w:pPr>
              <w:spacing w:after="0"/>
              <w:ind w:left="0"/>
              <w:rPr>
                <w:b/>
                <w:sz w:val="24"/>
                <w:szCs w:val="24"/>
              </w:rPr>
            </w:pPr>
            <w:r>
              <w:rPr>
                <w:b/>
                <w:sz w:val="24"/>
                <w:szCs w:val="24"/>
              </w:rPr>
              <w:t>AGENDA ITEM 3. STATUS OF THE COMMISSION’S FUNDS</w:t>
            </w:r>
          </w:p>
          <w:p w:rsidR="0072721E" w:rsidRDefault="007F04EE">
            <w:pPr>
              <w:spacing w:after="0"/>
              <w:ind w:left="0"/>
              <w:rPr>
                <w:b/>
              </w:rPr>
            </w:pPr>
            <w:r>
              <w:rPr>
                <w:b/>
              </w:rPr>
              <w:t xml:space="preserve"> </w:t>
            </w:r>
          </w:p>
          <w:p w:rsidR="0072721E" w:rsidRDefault="007F04EE">
            <w:pPr>
              <w:spacing w:after="0"/>
              <w:ind w:left="0"/>
            </w:pPr>
            <w:r>
              <w:rPr>
                <w:b/>
              </w:rPr>
              <w:t>3.1 Report on General Account Fund for 2021 - Contributions and Other Income</w:t>
            </w:r>
          </w:p>
          <w:p w:rsidR="0072721E" w:rsidRDefault="007F04EE">
            <w:pPr>
              <w:spacing w:line="276" w:lineRule="auto"/>
              <w:ind w:left="0"/>
              <w:jc w:val="left"/>
              <w:rPr>
                <w:i/>
              </w:rPr>
            </w:pPr>
            <w:r>
              <w:rPr>
                <w:b/>
              </w:rPr>
              <w:t xml:space="preserve">FFA Comment: </w:t>
            </w:r>
            <w:r>
              <w:rPr>
                <w:i/>
              </w:rPr>
              <w:t xml:space="preserve">Ref: </w:t>
            </w:r>
            <w:hyperlink r:id="rId154">
              <w:r>
                <w:rPr>
                  <w:i/>
                  <w:color w:val="1155CC"/>
                  <w:u w:val="single"/>
                </w:rPr>
                <w:t>FAC15-05</w:t>
              </w:r>
            </w:hyperlink>
            <w:r>
              <w:rPr>
                <w:i/>
              </w:rPr>
              <w:t xml:space="preserve"> Report on assessed member contributions and other incomes for 2021</w:t>
            </w:r>
          </w:p>
          <w:p w:rsidR="0072721E" w:rsidRDefault="007F04EE">
            <w:pPr>
              <w:spacing w:line="276" w:lineRule="auto"/>
              <w:ind w:left="0"/>
            </w:pPr>
            <w:r>
              <w:t>Contributions – Twelve Members have outstanding 2021 contributions totalling USD1,460,0300. All except three (Philippines, Korea and France) are FFA Members, accounting for 75.5% of total funds owing.  Three FFA members have outstanding contributions from 2020 (one FFA member still owes its full 2020 contribution, while two members owe less than USD100). Members should note that progressive payment options are available.   Currently there is one member (Solomon Islands) who is two full years in arrears on contribution payments.  Article 18, paragraph 3 of the Convention states: “If a contributor [to the budget of the Commission] is in arrears in the payment of its financial contributions to the Commission it shall not participate in the taking of decisions by the Commission if the amount of its arrears equals or exceeds the amount of the contributions due from it for the preceding two full years.</w:t>
            </w:r>
          </w:p>
          <w:p w:rsidR="0072721E" w:rsidRDefault="007F04EE">
            <w:pPr>
              <w:spacing w:line="276" w:lineRule="auto"/>
              <w:ind w:left="0"/>
            </w:pPr>
            <w:r>
              <w:rPr>
                <w:b/>
              </w:rPr>
              <w:t>Key issues:</w:t>
            </w:r>
            <w:r>
              <w:t xml:space="preserve">  The annual budget has been on an increasing trend for many years and with it, Members’ assessed contributions (see figure 1 in agenda 4).  Members' assessed contributions will continue increasing if the annual budget continues on its current trend.  The decrease in Members’ total assessed contribution for 2021 (shown in figure 1) is due to the fact that savings from the 2020 budget due to the impacts of COVID-19 was used to offset Members' contributions.  The budget proposed that the savings in 2021 be used to offset the 2022 and 2023 General Fund financing.</w:t>
            </w:r>
          </w:p>
          <w:p w:rsidR="0072721E" w:rsidRDefault="007F04EE">
            <w:pPr>
              <w:spacing w:after="0" w:line="276" w:lineRule="auto"/>
              <w:ind w:left="0"/>
            </w:pPr>
            <w:r>
              <w:rPr>
                <w:b/>
              </w:rPr>
              <w:t>Proposed approach:</w:t>
            </w:r>
            <w:r>
              <w:t xml:space="preserve">  </w:t>
            </w:r>
          </w:p>
          <w:p w:rsidR="0072721E" w:rsidRDefault="007F04EE">
            <w:pPr>
              <w:numPr>
                <w:ilvl w:val="0"/>
                <w:numId w:val="53"/>
              </w:numPr>
              <w:spacing w:after="0" w:line="276" w:lineRule="auto"/>
            </w:pPr>
            <w:r>
              <w:t>Similar to last year, support the proposal to use the savings in 2021 to offset 2022 and 2023 General Fund financing.</w:t>
            </w:r>
          </w:p>
          <w:p w:rsidR="0072721E" w:rsidRDefault="007F04EE">
            <w:pPr>
              <w:numPr>
                <w:ilvl w:val="0"/>
                <w:numId w:val="53"/>
              </w:numPr>
              <w:spacing w:line="276" w:lineRule="auto"/>
            </w:pPr>
            <w:r>
              <w:t>Voice concern with the continued increasing trend in Members’ assessed contributions (which is directly linked to the continued increases to the budget - see discussion on budget trends under agenda 5).</w:t>
            </w:r>
          </w:p>
          <w:p w:rsidR="0072721E" w:rsidRDefault="0072721E">
            <w:pPr>
              <w:spacing w:after="0"/>
              <w:ind w:left="0"/>
              <w:rPr>
                <w:highlight w:val="yellow"/>
              </w:rPr>
            </w:pPr>
          </w:p>
          <w:p w:rsidR="0072721E" w:rsidRDefault="007F04EE">
            <w:pPr>
              <w:spacing w:after="0"/>
              <w:ind w:left="0"/>
              <w:rPr>
                <w:b/>
              </w:rPr>
            </w:pPr>
            <w:r>
              <w:rPr>
                <w:b/>
              </w:rPr>
              <w:t>3.2 Report on the Status of Other Funds for 2021</w:t>
            </w:r>
          </w:p>
          <w:p w:rsidR="0072721E" w:rsidRDefault="007F04EE">
            <w:pPr>
              <w:spacing w:after="0"/>
              <w:ind w:left="0"/>
              <w:rPr>
                <w:i/>
              </w:rPr>
            </w:pPr>
            <w:r>
              <w:rPr>
                <w:b/>
              </w:rPr>
              <w:t>FFA Comment:</w:t>
            </w:r>
            <w:r>
              <w:rPr>
                <w:i/>
              </w:rPr>
              <w:t xml:space="preserve"> Ref: </w:t>
            </w:r>
            <w:hyperlink r:id="rId155">
              <w:r>
                <w:rPr>
                  <w:i/>
                  <w:color w:val="1155CC"/>
                  <w:u w:val="single"/>
                </w:rPr>
                <w:t xml:space="preserve">FAC15-07 </w:t>
              </w:r>
            </w:hyperlink>
            <w:r>
              <w:rPr>
                <w:i/>
              </w:rPr>
              <w:t>Report on the Status of Other Funds for 2021</w:t>
            </w:r>
          </w:p>
          <w:p w:rsidR="0072721E" w:rsidRDefault="007F04EE">
            <w:pPr>
              <w:spacing w:after="0"/>
              <w:ind w:left="0"/>
              <w:rPr>
                <w:b/>
              </w:rPr>
            </w:pPr>
            <w:r>
              <w:rPr>
                <w:b/>
              </w:rPr>
              <w:t xml:space="preserve"> </w:t>
            </w:r>
          </w:p>
          <w:p w:rsidR="0072721E" w:rsidRDefault="007F04EE">
            <w:pPr>
              <w:spacing w:after="0"/>
              <w:ind w:left="0"/>
            </w:pPr>
            <w:r>
              <w:rPr>
                <w:u w:val="single"/>
              </w:rPr>
              <w:t>Special Requirements Fund (SRF)</w:t>
            </w:r>
            <w:r>
              <w:rPr>
                <w:b/>
              </w:rPr>
              <w:t xml:space="preserve"> – </w:t>
            </w:r>
            <w:r>
              <w:t xml:space="preserve">The SRF has been established in accordance with the Commission’s Financial Regulation 7 for the purposes identified in Article 30 of the Convention.  A webpage  dedicated to the Implementation of Article 30 of the Convention, which includes information on SRF, is </w:t>
            </w:r>
            <w:hyperlink r:id="rId156">
              <w:r>
                <w:rPr>
                  <w:color w:val="1155CC"/>
                  <w:u w:val="single"/>
                </w:rPr>
                <w:t>here</w:t>
              </w:r>
            </w:hyperlink>
            <w:r>
              <w:t xml:space="preserve">.   </w:t>
            </w:r>
          </w:p>
          <w:p w:rsidR="0072721E" w:rsidRDefault="0072721E">
            <w:pPr>
              <w:spacing w:after="0"/>
              <w:ind w:left="0"/>
            </w:pPr>
          </w:p>
          <w:p w:rsidR="0072721E" w:rsidRDefault="007F04EE">
            <w:pPr>
              <w:spacing w:after="0"/>
              <w:ind w:left="0"/>
            </w:pPr>
            <w:r>
              <w:t>The SRF balance brought forward from 2020 was USD423,355.  Total income in 2021 which included a donation from the US and China amounted to USD64,084.  Activities funded in 2021 amounted to USD78,450, leaving a remaining balance of USD408,989.  This means that SIDS and Territories have only utilized 16% in 2021 and 0.04% in 2020 of the available SRF.</w:t>
            </w:r>
          </w:p>
          <w:p w:rsidR="0072721E" w:rsidRDefault="007F04EE">
            <w:pPr>
              <w:spacing w:after="0"/>
              <w:ind w:left="0"/>
              <w:rPr>
                <w:b/>
              </w:rPr>
            </w:pPr>
            <w:r>
              <w:rPr>
                <w:b/>
              </w:rPr>
              <w:t xml:space="preserve"> </w:t>
            </w:r>
          </w:p>
          <w:p w:rsidR="0072721E" w:rsidRDefault="007F04EE">
            <w:pPr>
              <w:spacing w:after="0"/>
              <w:ind w:left="0"/>
            </w:pPr>
            <w:r>
              <w:t>The SRF has traditionally been used by FFA members for capacity building through physical participation at various meetings.  Since the pandemic in early 2020 and with no physical meeting happening, the utilization of the SRF has been minimal.  Members are reminded that the purpose of the fund is broad and can be used to fund various activities.  Such activities, as advised in the Circular 21/113, may include but are not limited to:</w:t>
            </w:r>
          </w:p>
          <w:p w:rsidR="0072721E" w:rsidRDefault="007F04EE">
            <w:pPr>
              <w:numPr>
                <w:ilvl w:val="0"/>
                <w:numId w:val="63"/>
              </w:numPr>
              <w:spacing w:after="0"/>
            </w:pPr>
            <w:r>
              <w:t xml:space="preserve">Redirecting observers to on-shore related duties as they await deployment back to sea as recommended by the Observer Livelihood and Safety Study (eg. to carry out MCS related duties, port sampling, EM Analyst etc). </w:t>
            </w:r>
          </w:p>
          <w:p w:rsidR="0072721E" w:rsidRDefault="007F04EE">
            <w:pPr>
              <w:numPr>
                <w:ilvl w:val="0"/>
                <w:numId w:val="63"/>
              </w:numPr>
              <w:spacing w:after="0"/>
            </w:pPr>
            <w:r>
              <w:t xml:space="preserve">Data collection/analysis related activities </w:t>
            </w:r>
          </w:p>
          <w:p w:rsidR="0072721E" w:rsidRDefault="007F04EE">
            <w:pPr>
              <w:numPr>
                <w:ilvl w:val="0"/>
                <w:numId w:val="63"/>
              </w:numPr>
              <w:spacing w:after="0"/>
            </w:pPr>
            <w:r>
              <w:t xml:space="preserve">Relevant in-country trainings  </w:t>
            </w:r>
          </w:p>
          <w:p w:rsidR="0072721E" w:rsidRDefault="007F04EE">
            <w:pPr>
              <w:numPr>
                <w:ilvl w:val="0"/>
                <w:numId w:val="63"/>
              </w:numPr>
              <w:spacing w:after="0"/>
            </w:pPr>
            <w:r>
              <w:t xml:space="preserve">In-country work related to legislation, such as public awareness of fisheries legislations </w:t>
            </w:r>
          </w:p>
          <w:p w:rsidR="0072721E" w:rsidRDefault="007F04EE">
            <w:pPr>
              <w:spacing w:after="0"/>
              <w:ind w:left="0"/>
            </w:pPr>
            <w:r>
              <w:rPr>
                <w:u w:val="single"/>
              </w:rPr>
              <w:t>Proposed approach:</w:t>
            </w:r>
          </w:p>
          <w:p w:rsidR="0072721E" w:rsidRDefault="007F04EE">
            <w:pPr>
              <w:numPr>
                <w:ilvl w:val="0"/>
                <w:numId w:val="64"/>
              </w:numPr>
              <w:spacing w:after="0"/>
            </w:pPr>
            <w:r>
              <w:t>Thank the US and China for their contributions to the SRF in 2021.</w:t>
            </w:r>
          </w:p>
          <w:p w:rsidR="0072721E" w:rsidRDefault="007F04EE">
            <w:pPr>
              <w:numPr>
                <w:ilvl w:val="0"/>
                <w:numId w:val="64"/>
              </w:numPr>
              <w:spacing w:after="0"/>
            </w:pPr>
            <w:r>
              <w:t>Members are encouraged to tap into the SRF noting that the current balance is USD408,989.</w:t>
            </w:r>
          </w:p>
          <w:p w:rsidR="0072721E" w:rsidRDefault="007F04EE">
            <w:pPr>
              <w:spacing w:after="0"/>
              <w:ind w:left="0"/>
              <w:rPr>
                <w:b/>
                <w:highlight w:val="yellow"/>
              </w:rPr>
            </w:pPr>
            <w:r>
              <w:rPr>
                <w:b/>
                <w:highlight w:val="yellow"/>
              </w:rPr>
              <w:t xml:space="preserve"> </w:t>
            </w:r>
          </w:p>
          <w:p w:rsidR="0072721E" w:rsidRDefault="007F04EE">
            <w:pPr>
              <w:spacing w:after="0"/>
              <w:ind w:left="0"/>
            </w:pPr>
            <w:r>
              <w:rPr>
                <w:u w:val="single"/>
              </w:rPr>
              <w:t>Japan Trust Fund (JTF)</w:t>
            </w:r>
            <w:r>
              <w:rPr>
                <w:b/>
              </w:rPr>
              <w:t xml:space="preserve"> – </w:t>
            </w:r>
            <w:r>
              <w:t xml:space="preserve">Members consider substantive issues during the annual steering committee meetings held in the margins of SC meetings.  Members may wish to thank Japan for the support noting that more than 90% of funds expended were on FFA Member activities.    </w:t>
            </w:r>
          </w:p>
          <w:p w:rsidR="0072721E" w:rsidRDefault="007F04EE">
            <w:pPr>
              <w:spacing w:after="0"/>
              <w:ind w:left="0"/>
            </w:pPr>
            <w:r>
              <w:t xml:space="preserve">The call for project proposals for funding support under the JTF for 2022 has been circulated through Circular 2021/100 (dated 15 November) and the deadline for the receipt of proposals is </w:t>
            </w:r>
            <w:r>
              <w:rPr>
                <w:b/>
              </w:rPr>
              <w:t>Wednesday, 22 December 2021</w:t>
            </w:r>
            <w:r>
              <w:t>.  Members are encouraged to submit proposals to the JTF before the due date.</w:t>
            </w:r>
          </w:p>
          <w:p w:rsidR="0072721E" w:rsidRDefault="007F04EE">
            <w:pPr>
              <w:spacing w:after="0"/>
              <w:ind w:left="0"/>
              <w:rPr>
                <w:highlight w:val="yellow"/>
              </w:rPr>
            </w:pPr>
            <w:r>
              <w:rPr>
                <w:highlight w:val="yellow"/>
              </w:rPr>
              <w:t xml:space="preserve"> </w:t>
            </w:r>
          </w:p>
          <w:p w:rsidR="0072721E" w:rsidRDefault="007F04EE">
            <w:pPr>
              <w:spacing w:after="0"/>
              <w:ind w:left="0"/>
            </w:pPr>
            <w:r>
              <w:rPr>
                <w:u w:val="single"/>
              </w:rPr>
              <w:t>Chinese Taipei Trust Fund</w:t>
            </w:r>
            <w:r>
              <w:t xml:space="preserve"> – CTTF was established in 2016 with funding approved for the 5 years of the project, with an annual funding allocation of $400,000. For each year, there is an open call for project applications from developing Members and Participating Territories (Members) of the Commission for consideration for funding under the CTTF.  The fund supported 4 projects in 2021 totalling USD174,007, and a balance of USD567,480 remains.  The balance of expended funds of USD 36,607 can be attributed to admin fees. </w:t>
            </w:r>
          </w:p>
          <w:p w:rsidR="0072721E" w:rsidRDefault="007F04EE">
            <w:pPr>
              <w:spacing w:after="0"/>
              <w:ind w:left="0"/>
              <w:rPr>
                <w:highlight w:val="yellow"/>
              </w:rPr>
            </w:pPr>
            <w:r>
              <w:rPr>
                <w:highlight w:val="yellow"/>
              </w:rPr>
              <w:t xml:space="preserve"> </w:t>
            </w:r>
          </w:p>
          <w:p w:rsidR="0072721E" w:rsidRDefault="007F04EE">
            <w:pPr>
              <w:spacing w:after="0"/>
              <w:ind w:left="0"/>
              <w:rPr>
                <w:highlight w:val="yellow"/>
              </w:rPr>
            </w:pPr>
            <w:r>
              <w:rPr>
                <w:u w:val="single"/>
              </w:rPr>
              <w:t>CNM Contributions Fund</w:t>
            </w:r>
            <w:r>
              <w:t xml:space="preserve"> – 2021 assessed CNM contributions are USD168,842 with outstanding payments from Curacao and Liberia totalling USD 32,082. The fund also holds observer fees collected at WCPFC meetings. The current balance is USD142,482, with funded activities amounting to USD141,050 for the financial year. </w:t>
            </w:r>
          </w:p>
          <w:p w:rsidR="0072721E" w:rsidRDefault="007F04EE">
            <w:pPr>
              <w:spacing w:after="0"/>
              <w:ind w:left="0"/>
              <w:rPr>
                <w:highlight w:val="yellow"/>
              </w:rPr>
            </w:pPr>
            <w:r>
              <w:rPr>
                <w:highlight w:val="yellow"/>
              </w:rPr>
              <w:t xml:space="preserve"> </w:t>
            </w:r>
          </w:p>
          <w:p w:rsidR="0072721E" w:rsidRDefault="007F04EE">
            <w:pPr>
              <w:spacing w:after="0"/>
              <w:ind w:left="0"/>
            </w:pPr>
            <w:r>
              <w:rPr>
                <w:u w:val="single"/>
              </w:rPr>
              <w:t>Voluntary Contributions Fund</w:t>
            </w:r>
            <w:r>
              <w:t xml:space="preserve"> – 4 contributions were made by 3 Members and ISSF totalling USD381,428 for specific projects while USD440,010 was spent on activities. </w:t>
            </w:r>
          </w:p>
          <w:p w:rsidR="0072721E" w:rsidRDefault="007F04EE">
            <w:pPr>
              <w:spacing w:after="0"/>
              <w:ind w:left="0"/>
              <w:rPr>
                <w:highlight w:val="yellow"/>
              </w:rPr>
            </w:pPr>
            <w:r>
              <w:rPr>
                <w:highlight w:val="yellow"/>
              </w:rPr>
              <w:t xml:space="preserve"> </w:t>
            </w:r>
          </w:p>
          <w:p w:rsidR="0072721E" w:rsidRDefault="007F04EE">
            <w:pPr>
              <w:spacing w:after="0"/>
              <w:ind w:left="0"/>
            </w:pPr>
            <w:r>
              <w:rPr>
                <w:u w:val="single"/>
              </w:rPr>
              <w:t>Western Pacific East Asia Fund</w:t>
            </w:r>
            <w:r>
              <w:t xml:space="preserve"> – there were no new contributions to this fund although it has funded specific activities, leaving a balance of USD1,777,610.</w:t>
            </w:r>
          </w:p>
          <w:p w:rsidR="0072721E" w:rsidRDefault="007F04EE">
            <w:pPr>
              <w:spacing w:after="0"/>
              <w:ind w:left="0"/>
              <w:rPr>
                <w:highlight w:val="yellow"/>
              </w:rPr>
            </w:pPr>
            <w:r>
              <w:rPr>
                <w:highlight w:val="yellow"/>
              </w:rPr>
              <w:t xml:space="preserve"> </w:t>
            </w:r>
          </w:p>
          <w:p w:rsidR="0072721E" w:rsidRDefault="007F04EE">
            <w:pPr>
              <w:spacing w:after="0"/>
              <w:ind w:left="0"/>
            </w:pPr>
            <w:r>
              <w:rPr>
                <w:u w:val="single"/>
              </w:rPr>
              <w:t>Working Capital Fund</w:t>
            </w:r>
            <w:r>
              <w:t xml:space="preserve"> – funded activities totalled USD 1,350,000 leaving a balance of USD2,131,732.</w:t>
            </w:r>
          </w:p>
          <w:p w:rsidR="0072721E" w:rsidRDefault="007F04EE">
            <w:pPr>
              <w:spacing w:after="0"/>
              <w:ind w:left="0"/>
            </w:pPr>
            <w:r>
              <w:t xml:space="preserve"> </w:t>
            </w:r>
          </w:p>
          <w:p w:rsidR="0072721E" w:rsidRDefault="007F04EE">
            <w:pPr>
              <w:spacing w:after="0"/>
              <w:ind w:left="0"/>
              <w:rPr>
                <w:b/>
                <w:i/>
                <w:u w:val="single"/>
              </w:rPr>
            </w:pPr>
            <w:r>
              <w:rPr>
                <w:b/>
                <w:i/>
                <w:u w:val="single"/>
              </w:rPr>
              <w:t xml:space="preserve">Members may wish to note this paper. </w:t>
            </w:r>
          </w:p>
          <w:p w:rsidR="0072721E" w:rsidRDefault="0072721E">
            <w:pPr>
              <w:spacing w:after="0"/>
              <w:ind w:left="0"/>
              <w:rPr>
                <w:b/>
                <w:highlight w:val="yellow"/>
              </w:rPr>
            </w:pPr>
          </w:p>
          <w:p w:rsidR="0072721E" w:rsidRDefault="0072721E">
            <w:pPr>
              <w:spacing w:after="0"/>
              <w:ind w:left="0"/>
              <w:rPr>
                <w:highlight w:val="yellow"/>
              </w:rPr>
            </w:pPr>
          </w:p>
          <w:p w:rsidR="0072721E" w:rsidRDefault="0072721E">
            <w:pPr>
              <w:spacing w:after="0"/>
              <w:ind w:left="0"/>
              <w:rPr>
                <w:b/>
                <w:shd w:val="clear" w:color="auto" w:fill="FCE5CD"/>
              </w:rPr>
            </w:pPr>
          </w:p>
          <w:p w:rsidR="0072721E" w:rsidRDefault="007F04EE">
            <w:pPr>
              <w:spacing w:after="0"/>
              <w:ind w:left="0"/>
              <w:rPr>
                <w:b/>
              </w:rPr>
            </w:pPr>
            <w:r>
              <w:rPr>
                <w:b/>
                <w:sz w:val="24"/>
                <w:szCs w:val="24"/>
                <w:shd w:val="clear" w:color="auto" w:fill="FCE5CD"/>
              </w:rPr>
              <w:t xml:space="preserve">AGENDA ITEM 4. HEADQUARTERS ISSUES </w:t>
            </w:r>
            <w:r>
              <w:rPr>
                <w:b/>
              </w:rPr>
              <w:t>[report on this yet to drop]</w:t>
            </w:r>
          </w:p>
          <w:p w:rsidR="0072721E" w:rsidRDefault="007F04EE">
            <w:pPr>
              <w:spacing w:after="0"/>
              <w:ind w:left="0"/>
              <w:rPr>
                <w:shd w:val="clear" w:color="auto" w:fill="FCE5CD"/>
              </w:rPr>
            </w:pPr>
            <w:r>
              <w:rPr>
                <w:b/>
                <w:shd w:val="clear" w:color="auto" w:fill="FCE5CD"/>
              </w:rPr>
              <w:t xml:space="preserve"> </w:t>
            </w:r>
          </w:p>
          <w:p w:rsidR="0072721E" w:rsidRDefault="007F04EE">
            <w:pPr>
              <w:spacing w:after="0"/>
              <w:ind w:left="0"/>
              <w:rPr>
                <w:b/>
              </w:rPr>
            </w:pPr>
            <w:r>
              <w:rPr>
                <w:b/>
              </w:rPr>
              <w:t>4.1 Headquarters Matters</w:t>
            </w:r>
          </w:p>
          <w:p w:rsidR="0072721E" w:rsidRDefault="007F04EE">
            <w:pPr>
              <w:spacing w:after="0"/>
              <w:ind w:left="0"/>
              <w:rPr>
                <w:i/>
              </w:rPr>
            </w:pPr>
            <w:r>
              <w:rPr>
                <w:i/>
              </w:rPr>
              <w:t xml:space="preserve">The Secretariat will present a report on the operations and functioning of the Commission’s headquarters facilities, arrangements for meetings, travel, security and staff housing. </w:t>
            </w:r>
          </w:p>
          <w:p w:rsidR="0072721E" w:rsidRDefault="0072721E">
            <w:pPr>
              <w:spacing w:after="0"/>
              <w:ind w:left="0"/>
              <w:rPr>
                <w:b/>
              </w:rPr>
            </w:pPr>
          </w:p>
          <w:p w:rsidR="0072721E" w:rsidRDefault="007F04EE">
            <w:pPr>
              <w:spacing w:after="0"/>
              <w:ind w:left="0"/>
              <w:rPr>
                <w:b/>
              </w:rPr>
            </w:pPr>
            <w:r>
              <w:rPr>
                <w:b/>
              </w:rPr>
              <w:t xml:space="preserve">4.2 Professional Staff Salary </w:t>
            </w:r>
          </w:p>
          <w:p w:rsidR="0072721E" w:rsidRDefault="007F04EE">
            <w:pPr>
              <w:spacing w:after="0"/>
              <w:ind w:left="0"/>
              <w:rPr>
                <w:i/>
              </w:rPr>
            </w:pPr>
            <w:r>
              <w:rPr>
                <w:i/>
              </w:rPr>
              <w:t xml:space="preserve">At FAC13 and FAC14, the committee agreed that further consideration of the Triannual Salary Market Data Review for professional staff salaries be held at FAC15. </w:t>
            </w:r>
          </w:p>
          <w:p w:rsidR="0072721E" w:rsidRDefault="007F04EE">
            <w:pPr>
              <w:spacing w:after="0"/>
              <w:ind w:left="0"/>
              <w:rPr>
                <w:b/>
                <w:shd w:val="clear" w:color="auto" w:fill="FCE5CD"/>
              </w:rPr>
            </w:pPr>
            <w:r>
              <w:rPr>
                <w:b/>
              </w:rPr>
              <w:t xml:space="preserve">Background: </w:t>
            </w:r>
            <w:r>
              <w:t xml:space="preserve"> At FAC13(2019), an informal working group was established to review the renumeration system for the professional staff and the ED, to be led by Cook Islands over a 2 year period and report back to FAC15.  FAC15(2021) is expected to receive any update under this agenda item from this informal working group.</w:t>
            </w:r>
          </w:p>
          <w:p w:rsidR="0072721E" w:rsidRDefault="0072721E">
            <w:pPr>
              <w:spacing w:after="0"/>
              <w:ind w:left="0"/>
              <w:rPr>
                <w:b/>
              </w:rPr>
            </w:pPr>
          </w:p>
          <w:p w:rsidR="0072721E" w:rsidRDefault="0072721E">
            <w:pPr>
              <w:spacing w:after="0"/>
              <w:ind w:left="0"/>
              <w:rPr>
                <w:b/>
              </w:rPr>
            </w:pPr>
          </w:p>
          <w:p w:rsidR="0072721E" w:rsidRDefault="007F04EE">
            <w:pPr>
              <w:spacing w:after="0"/>
              <w:ind w:left="0"/>
              <w:rPr>
                <w:b/>
                <w:sz w:val="24"/>
                <w:szCs w:val="24"/>
              </w:rPr>
            </w:pPr>
            <w:r>
              <w:rPr>
                <w:b/>
                <w:sz w:val="24"/>
                <w:szCs w:val="24"/>
              </w:rPr>
              <w:t>AGENDA ITEM 5. WORK PROGRAMME AND BUDGET FOR 2022 AND INDICATIVE WORK PROGRAMME AND BUDGET FOR 2023 AND 2024</w:t>
            </w:r>
          </w:p>
          <w:p w:rsidR="0072721E" w:rsidRDefault="007F04EE">
            <w:pPr>
              <w:spacing w:line="276" w:lineRule="auto"/>
              <w:ind w:left="0"/>
              <w:rPr>
                <w:i/>
              </w:rPr>
            </w:pPr>
            <w:r>
              <w:rPr>
                <w:i/>
              </w:rPr>
              <w:t>Reference:</w:t>
            </w:r>
            <w:hyperlink r:id="rId157">
              <w:r>
                <w:rPr>
                  <w:i/>
                  <w:color w:val="1155CC"/>
                  <w:u w:val="single"/>
                </w:rPr>
                <w:t>WCFPC 18-2021-FAC15-06:</w:t>
              </w:r>
            </w:hyperlink>
            <w:r>
              <w:rPr>
                <w:i/>
              </w:rPr>
              <w:t xml:space="preserve"> Proposed budget for the Commission’s work programme for 2022 and indicative budgets for 2023 and 2024.</w:t>
            </w:r>
          </w:p>
          <w:p w:rsidR="0072721E" w:rsidRDefault="007F04EE">
            <w:pPr>
              <w:spacing w:after="0" w:line="276" w:lineRule="auto"/>
              <w:ind w:left="0"/>
              <w:rPr>
                <w:b/>
                <w:i/>
                <w:u w:val="single"/>
              </w:rPr>
            </w:pPr>
            <w:r>
              <w:rPr>
                <w:b/>
                <w:i/>
                <w:u w:val="single"/>
              </w:rPr>
              <w:t>Budget trend over the years</w:t>
            </w:r>
          </w:p>
          <w:p w:rsidR="0072721E" w:rsidRDefault="007F04EE">
            <w:pPr>
              <w:spacing w:after="0" w:line="276" w:lineRule="auto"/>
              <w:ind w:left="0"/>
            </w:pPr>
            <w:r>
              <w:t>Looking back from the indicative budget proposed for 2022 over the approved budget back to 2012, figure 1 shows an increasing trend on the total annual budget over the years which equate to an average of around 3% increase in annual budget each year from the previous year’s budget from 2012 - 2022.</w:t>
            </w:r>
          </w:p>
          <w:p w:rsidR="0072721E" w:rsidRDefault="007F04EE">
            <w:pPr>
              <w:spacing w:line="276" w:lineRule="auto"/>
              <w:ind w:left="0"/>
              <w:jc w:val="center"/>
            </w:pPr>
            <w:r>
              <w:rPr>
                <w:noProof/>
              </w:rPr>
              <w:drawing>
                <wp:inline distT="114300" distB="114300" distL="114300" distR="114300">
                  <wp:extent cx="5105400" cy="2317554"/>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8"/>
                          <a:srcRect/>
                          <a:stretch>
                            <a:fillRect/>
                          </a:stretch>
                        </pic:blipFill>
                        <pic:spPr>
                          <a:xfrm>
                            <a:off x="0" y="0"/>
                            <a:ext cx="5105400" cy="2317554"/>
                          </a:xfrm>
                          <a:prstGeom prst="rect">
                            <a:avLst/>
                          </a:prstGeom>
                          <a:ln/>
                        </pic:spPr>
                      </pic:pic>
                    </a:graphicData>
                  </a:graphic>
                </wp:inline>
              </w:drawing>
            </w:r>
          </w:p>
          <w:p w:rsidR="0072721E" w:rsidRDefault="007F04EE">
            <w:pPr>
              <w:spacing w:line="276" w:lineRule="auto"/>
              <w:ind w:left="0"/>
              <w:rPr>
                <w:color w:val="222222"/>
              </w:rPr>
            </w:pPr>
            <w:r>
              <w:t xml:space="preserve">This is a worrying trend, given the direct impact of this on Members assessed contribution.  In 2015, FAC considered options for a sustainable Commission budget (paper is </w:t>
            </w:r>
            <w:hyperlink r:id="rId159">
              <w:r>
                <w:rPr>
                  <w:color w:val="1155CC"/>
                  <w:u w:val="single"/>
                </w:rPr>
                <w:t>here</w:t>
              </w:r>
            </w:hyperlink>
            <w:r>
              <w:t xml:space="preserve">).  Options included </w:t>
            </w:r>
            <w:r>
              <w:rPr>
                <w:color w:val="222222"/>
              </w:rPr>
              <w:t xml:space="preserve">increasing voluntary contributions, imposing project management fees, exploring cost recovery options for Commission services and increasing returns from investments. Though the issue and options were discussed, there was no specific direction/decision on this.  </w:t>
            </w:r>
          </w:p>
          <w:p w:rsidR="0072721E" w:rsidRDefault="007F04EE">
            <w:pPr>
              <w:spacing w:line="276" w:lineRule="auto"/>
              <w:ind w:left="0"/>
              <w:rPr>
                <w:color w:val="222222"/>
              </w:rPr>
            </w:pPr>
            <w:r>
              <w:rPr>
                <w:color w:val="222222"/>
              </w:rPr>
              <w:t>Should the budget continue on its current trend, it would likely become challenging for some of our members to afford and justify their annual contributions to being a Member of the Commission.</w:t>
            </w:r>
          </w:p>
          <w:p w:rsidR="0072721E" w:rsidRDefault="007F04EE">
            <w:pPr>
              <w:spacing w:line="276" w:lineRule="auto"/>
              <w:ind w:left="0"/>
              <w:rPr>
                <w:color w:val="222222"/>
              </w:rPr>
            </w:pPr>
            <w:r>
              <w:rPr>
                <w:b/>
                <w:color w:val="222222"/>
              </w:rPr>
              <w:t>Proposed approach:</w:t>
            </w:r>
            <w:r>
              <w:rPr>
                <w:color w:val="222222"/>
              </w:rPr>
              <w:t xml:space="preserve">  Members may wish to consider recommending that FAC16 in 2022 revisit the issue relating to a sustainable Commission budget and task the Secretariat to prepare a paper on this to facilitate the discussion at FAC16, building on the discussion and paper tabled at FAC9(2015).  </w:t>
            </w:r>
          </w:p>
          <w:p w:rsidR="0072721E" w:rsidRDefault="0072721E">
            <w:pPr>
              <w:spacing w:line="276" w:lineRule="auto"/>
              <w:ind w:left="0"/>
            </w:pPr>
          </w:p>
          <w:p w:rsidR="0072721E" w:rsidRDefault="007F04EE">
            <w:pPr>
              <w:spacing w:line="276" w:lineRule="auto"/>
              <w:ind w:left="0"/>
              <w:rPr>
                <w:b/>
                <w:i/>
                <w:u w:val="single"/>
              </w:rPr>
            </w:pPr>
            <w:r>
              <w:rPr>
                <w:b/>
                <w:i/>
                <w:u w:val="single"/>
              </w:rPr>
              <w:t>Proposed budget for 2022 and indicative budget for 2023 and 2024</w:t>
            </w:r>
          </w:p>
          <w:p w:rsidR="0072721E" w:rsidRDefault="007F04EE">
            <w:pPr>
              <w:spacing w:line="276" w:lineRule="auto"/>
              <w:ind w:left="0"/>
            </w:pPr>
            <w:r>
              <w:t xml:space="preserve">The proposed budget for the General Account fund for 2022 is </w:t>
            </w:r>
            <w:r>
              <w:rPr>
                <w:b/>
              </w:rPr>
              <w:t>USD 8,439,136</w:t>
            </w:r>
            <w:r>
              <w:t>. The indicative budget for 2022 approved by WCFPC was USD 8,404,595. The proposed budget represents a 0.4% increase from the indicative 2022 budget and a 3% increase from the 2021 budget.</w:t>
            </w:r>
          </w:p>
          <w:p w:rsidR="0072721E" w:rsidRDefault="007F04EE">
            <w:pPr>
              <w:spacing w:line="276" w:lineRule="auto"/>
              <w:ind w:left="0"/>
            </w:pPr>
            <w:r>
              <w:t>The proposed expenditure for 2022 is for work and activities emanating from the previous Commission decisions; recommendations from the SC17 and TCC17, the various intersessional working groups and the Secretariat’s estimation of the ongoing operational costs for the Commission and the Secretariat.  The budget estimates do not include provisions for certain activities which are recommended for decisions by WCPFC18 eg. professional staff salary.  These will be added to the budget figures following the Commission’s approval.</w:t>
            </w:r>
          </w:p>
          <w:p w:rsidR="0072721E" w:rsidRDefault="007F04EE">
            <w:pPr>
              <w:spacing w:line="276" w:lineRule="auto"/>
              <w:ind w:left="0"/>
            </w:pPr>
            <w:r>
              <w:t>Again due to COVID19, there will be significant savings (although less compared to 2020) in the 2021 expenditures, it is proposed that those savings be used to offset the 2022 and 2023 General Fund financing.</w:t>
            </w:r>
          </w:p>
          <w:p w:rsidR="0072721E" w:rsidRDefault="007F04EE">
            <w:pPr>
              <w:spacing w:after="0"/>
              <w:ind w:left="0"/>
            </w:pPr>
            <w:r>
              <w:t>The budget is structured in 2 parts.  Part 1 relates to the administrative expenses to sustain the operations of the Secretariat. Part 2 relates to the expenses for the work of the Science and Technical and Compliance Programmes of the Commission (details in Annex 3 of the paper).</w:t>
            </w:r>
          </w:p>
          <w:p w:rsidR="0072721E" w:rsidRDefault="0072721E">
            <w:pPr>
              <w:spacing w:after="0"/>
              <w:ind w:left="0"/>
            </w:pPr>
          </w:p>
          <w:p w:rsidR="0072721E" w:rsidRDefault="007F04EE">
            <w:pPr>
              <w:spacing w:after="0"/>
              <w:ind w:left="0"/>
            </w:pPr>
            <w:r>
              <w:t>Members would recall that last year, FFA Members asked that the amount for 2020 Regional Capacity Building Workshops line item (normally used by SPC and FFA for workshops eg. TDW, MOC etc), be added to the 2021 budget with a view for this to be used for observer related work.  This fund has been accessed by FFA for relevant Members who have indicated that they need observer safety training.  At least one Member is currently conducting this training with others lined up and timing to be confirmed with relevant national maritime schools.</w:t>
            </w:r>
          </w:p>
          <w:p w:rsidR="0072721E" w:rsidRDefault="0072721E">
            <w:pPr>
              <w:spacing w:after="0"/>
              <w:ind w:left="0"/>
            </w:pPr>
          </w:p>
          <w:p w:rsidR="0072721E" w:rsidRDefault="007F04EE">
            <w:pPr>
              <w:spacing w:after="0"/>
              <w:ind w:left="0"/>
            </w:pPr>
            <w:r>
              <w:t xml:space="preserve">FAC15 is asked to consider the proposed budget and make recommendations to the Commission on the annual budget for 2022 and the indicative budgets for 2023 and 2024.  </w:t>
            </w:r>
          </w:p>
          <w:p w:rsidR="0072721E" w:rsidRDefault="0072721E">
            <w:pPr>
              <w:spacing w:after="0"/>
              <w:ind w:left="0"/>
            </w:pPr>
          </w:p>
          <w:p w:rsidR="0072721E" w:rsidRDefault="007F04EE">
            <w:pPr>
              <w:spacing w:after="0"/>
              <w:ind w:left="0"/>
            </w:pPr>
            <w:r>
              <w:t xml:space="preserve">Figure 1 shows the annual budget trend and estimated expenditures reported in the budget paper to each annual FAC meeting, going back to 2012.  Between 2012 - 2019, excluding 2020 and 2021 given the pandemic, there was an average surplus of over 400,000USD annually.  This suggests that there is room to move in the budget if warranted.  Given this, here are some line items where it may be possible to reduce the proposed and indicative budget for 2022 - 2024: </w:t>
            </w:r>
          </w:p>
          <w:p w:rsidR="0072721E" w:rsidRDefault="007F04EE">
            <w:pPr>
              <w:numPr>
                <w:ilvl w:val="0"/>
                <w:numId w:val="10"/>
              </w:numPr>
              <w:spacing w:after="0"/>
            </w:pPr>
            <w:r>
              <w:t>Consultants line item under sub-item 1.2 has not been fully utilized in the past.  This line item is for legal support services, ED discretion, media consultant and meeting rapporteur.  It is understood that there hasn’t been a media consultant in the past few years.  If a media consultant is not needed, Members may wish to suggest removal of this cost (10,000).</w:t>
            </w:r>
          </w:p>
          <w:p w:rsidR="0072721E" w:rsidRDefault="007F04EE">
            <w:pPr>
              <w:numPr>
                <w:ilvl w:val="0"/>
                <w:numId w:val="10"/>
              </w:numPr>
              <w:spacing w:after="0"/>
            </w:pPr>
            <w:r>
              <w:t>CCM/Staff VMS training under sub-item 2.3 currently has a proposed and indicative budget of 25,000. This line item has been primarily used to train VMS officers from non-FFA members as the FFA Secretariat conducts training for its members.  From 2017 - 2021, this line item was only used once in 2018 with an estimated expenditure of $6214.  Given this, Members may wish to recommend that this line item be reduced to $10,000.</w:t>
            </w:r>
          </w:p>
          <w:p w:rsidR="0072721E" w:rsidRDefault="007F04EE">
            <w:pPr>
              <w:numPr>
                <w:ilvl w:val="0"/>
                <w:numId w:val="10"/>
              </w:numPr>
              <w:spacing w:after="0"/>
            </w:pPr>
            <w:r>
              <w:t>Targeted Capacity Building under sub-item 2.3 currently has a proposed and indicative budget of $40,000.  From 2017-2021, the maximum estimated expenditure for this line item was $11,920 in 2019.  Given this, Members may wish to recommend that this line item be reduced to $15,000.</w:t>
            </w:r>
          </w:p>
          <w:p w:rsidR="0072721E" w:rsidRDefault="0072721E">
            <w:pPr>
              <w:spacing w:after="0"/>
              <w:ind w:left="0"/>
              <w:rPr>
                <w:b/>
              </w:rPr>
            </w:pPr>
          </w:p>
          <w:p w:rsidR="0072721E" w:rsidRDefault="0072721E">
            <w:pPr>
              <w:spacing w:after="0"/>
              <w:ind w:left="0"/>
              <w:rPr>
                <w:b/>
              </w:rPr>
            </w:pPr>
          </w:p>
          <w:p w:rsidR="0072721E" w:rsidRDefault="007F04EE">
            <w:pPr>
              <w:spacing w:after="0"/>
              <w:ind w:left="0"/>
              <w:rPr>
                <w:b/>
                <w:sz w:val="24"/>
                <w:szCs w:val="24"/>
              </w:rPr>
            </w:pPr>
            <w:r>
              <w:rPr>
                <w:b/>
                <w:sz w:val="24"/>
                <w:szCs w:val="24"/>
              </w:rPr>
              <w:t>AGENDA ITEM 6. ELECTION OF CHAIRS</w:t>
            </w:r>
          </w:p>
          <w:p w:rsidR="0072721E" w:rsidRDefault="007F04EE">
            <w:pPr>
              <w:spacing w:after="0" w:line="276" w:lineRule="auto"/>
              <w:ind w:left="0"/>
            </w:pPr>
            <w:r>
              <w:t xml:space="preserve">WCPFC16(2019) appointed Ms. Camille Movick-Inatio (FSM) and Mr. Michael Brakke (USA) as FAC Co-Chairs, commencing in 2020.  The Committee will be required to consider a recommendation to the Commission to reappoint or fill the position of co-Chairs for FAC.  </w:t>
            </w:r>
          </w:p>
          <w:p w:rsidR="0072721E" w:rsidRDefault="007F04EE">
            <w:pPr>
              <w:spacing w:after="0"/>
              <w:ind w:left="0"/>
              <w:rPr>
                <w:b/>
                <w:shd w:val="clear" w:color="auto" w:fill="FCE5CD"/>
              </w:rPr>
            </w:pPr>
            <w:r>
              <w:rPr>
                <w:b/>
              </w:rPr>
              <w:t>Proposed approach:</w:t>
            </w:r>
            <w:r>
              <w:t xml:space="preserve">  FFA members may wish to put up a nomination to co-Chair the FAC, since Ms Camille Movick-Inatio is unavailable.</w:t>
            </w:r>
          </w:p>
          <w:p w:rsidR="0072721E" w:rsidRDefault="0072721E">
            <w:pPr>
              <w:spacing w:after="0"/>
              <w:ind w:left="0"/>
              <w:rPr>
                <w:b/>
                <w:shd w:val="clear" w:color="auto" w:fill="FCE5CD"/>
              </w:rPr>
            </w:pPr>
          </w:p>
          <w:p w:rsidR="0072721E" w:rsidRDefault="0072721E">
            <w:pPr>
              <w:spacing w:after="0"/>
              <w:ind w:left="0"/>
              <w:rPr>
                <w:b/>
              </w:rPr>
            </w:pPr>
          </w:p>
          <w:p w:rsidR="0072721E" w:rsidRDefault="007F04EE">
            <w:pPr>
              <w:spacing w:after="0"/>
              <w:ind w:left="0"/>
              <w:rPr>
                <w:b/>
                <w:sz w:val="24"/>
                <w:szCs w:val="24"/>
              </w:rPr>
            </w:pPr>
            <w:r>
              <w:rPr>
                <w:b/>
                <w:sz w:val="24"/>
                <w:szCs w:val="24"/>
              </w:rPr>
              <w:t>AGENDA ITEM 7. OTHER MATTERS</w:t>
            </w:r>
          </w:p>
          <w:p w:rsidR="0072721E" w:rsidRDefault="007F04EE">
            <w:pPr>
              <w:spacing w:after="0"/>
              <w:ind w:left="0"/>
              <w:rPr>
                <w:i/>
              </w:rPr>
            </w:pPr>
            <w:r>
              <w:rPr>
                <w:i/>
              </w:rPr>
              <w:t>The Committee will consider any other matter that a member may raise.</w:t>
            </w:r>
          </w:p>
          <w:p w:rsidR="0072721E" w:rsidRDefault="007F04EE">
            <w:pPr>
              <w:spacing w:line="276" w:lineRule="auto"/>
              <w:ind w:left="0"/>
              <w:rPr>
                <w:b/>
              </w:rPr>
            </w:pPr>
            <w:r>
              <w:rPr>
                <w:b/>
              </w:rPr>
              <w:t xml:space="preserve">FFA Comments: </w:t>
            </w:r>
            <w:r>
              <w:t xml:space="preserve">No issues identified at the time of writing this brief. </w:t>
            </w:r>
          </w:p>
          <w:p w:rsidR="0072721E" w:rsidRDefault="0072721E">
            <w:pPr>
              <w:spacing w:after="0"/>
              <w:ind w:left="0"/>
              <w:rPr>
                <w:b/>
              </w:rPr>
            </w:pPr>
          </w:p>
          <w:p w:rsidR="0072721E" w:rsidRDefault="007F04EE">
            <w:pPr>
              <w:spacing w:after="0"/>
              <w:ind w:left="0"/>
              <w:rPr>
                <w:b/>
                <w:sz w:val="24"/>
                <w:szCs w:val="24"/>
              </w:rPr>
            </w:pPr>
            <w:r>
              <w:rPr>
                <w:b/>
                <w:sz w:val="24"/>
                <w:szCs w:val="24"/>
              </w:rPr>
              <w:t>AGENDA ITEM 8. ADOPTION OF REPORT</w:t>
            </w:r>
          </w:p>
          <w:p w:rsidR="0072721E" w:rsidRDefault="007F04EE">
            <w:pPr>
              <w:spacing w:after="0"/>
              <w:ind w:left="0"/>
              <w:rPr>
                <w:i/>
              </w:rPr>
            </w:pPr>
            <w:r>
              <w:rPr>
                <w:i/>
              </w:rPr>
              <w:t>The Committee is required to adopt its report for presentation to WCPFC18</w:t>
            </w:r>
          </w:p>
          <w:p w:rsidR="0072721E" w:rsidRDefault="0072721E">
            <w:pPr>
              <w:spacing w:after="0"/>
              <w:ind w:left="0"/>
              <w:rPr>
                <w:b/>
              </w:rPr>
            </w:pPr>
          </w:p>
          <w:p w:rsidR="0072721E" w:rsidRDefault="0072721E">
            <w:pPr>
              <w:spacing w:after="0"/>
              <w:ind w:left="0"/>
              <w:rPr>
                <w:b/>
              </w:rPr>
            </w:pPr>
          </w:p>
          <w:p w:rsidR="0072721E" w:rsidRDefault="007F04EE">
            <w:pPr>
              <w:widowControl w:val="0"/>
              <w:pBdr>
                <w:top w:val="nil"/>
                <w:left w:val="nil"/>
                <w:bottom w:val="nil"/>
                <w:right w:val="nil"/>
                <w:between w:val="nil"/>
              </w:pBdr>
              <w:spacing w:after="0"/>
              <w:ind w:left="0"/>
              <w:jc w:val="left"/>
              <w:rPr>
                <w:smallCaps/>
                <w:highlight w:val="yellow"/>
              </w:rPr>
            </w:pPr>
            <w:r>
              <w:rPr>
                <w:b/>
                <w:sz w:val="24"/>
                <w:szCs w:val="24"/>
              </w:rPr>
              <w:t>AGENDA ITEM 9. CLOSE OF MEETING</w:t>
            </w:r>
          </w:p>
        </w:tc>
      </w:tr>
    </w:tbl>
    <w:p w:rsidR="0072721E" w:rsidRDefault="007F04EE">
      <w:pPr>
        <w:pBdr>
          <w:top w:val="nil"/>
          <w:left w:val="nil"/>
          <w:bottom w:val="nil"/>
          <w:right w:val="nil"/>
          <w:between w:val="nil"/>
        </w:pBdr>
        <w:ind w:left="357" w:hanging="357"/>
        <w:rPr>
          <w:smallCaps/>
          <w:highlight w:val="yellow"/>
        </w:rPr>
      </w:pPr>
      <w:r>
        <w:br w:type="page"/>
      </w:r>
    </w:p>
    <w:p w:rsidR="0072721E" w:rsidRDefault="0072721E">
      <w:pPr>
        <w:pBdr>
          <w:top w:val="nil"/>
          <w:left w:val="nil"/>
          <w:bottom w:val="nil"/>
          <w:right w:val="nil"/>
          <w:between w:val="nil"/>
        </w:pBdr>
        <w:ind w:left="357" w:hanging="357"/>
        <w:rPr>
          <w:smallCaps/>
          <w:highlight w:val="yellow"/>
        </w:rPr>
      </w:pPr>
    </w:p>
    <w:p w:rsidR="0072721E" w:rsidRDefault="007F04EE">
      <w:pPr>
        <w:pStyle w:val="Heading1"/>
        <w:spacing w:after="200"/>
        <w:rPr>
          <w:sz w:val="22"/>
          <w:szCs w:val="22"/>
        </w:rPr>
      </w:pPr>
      <w:bookmarkStart w:id="69" w:name="_1x0gk37" w:colFirst="0" w:colLast="0"/>
      <w:bookmarkEnd w:id="69"/>
      <w:r>
        <w:t>AGENDA ITEM 13</w:t>
      </w:r>
      <w:r>
        <w:tab/>
        <w:t>ADMINISTRATIVE MATTERS</w:t>
      </w:r>
    </w:p>
    <w:p w:rsidR="0072721E" w:rsidRDefault="007F04EE">
      <w:pPr>
        <w:pStyle w:val="Heading2"/>
        <w:ind w:left="357"/>
      </w:pPr>
      <w:bookmarkStart w:id="70" w:name="_byb9xzxy5bjn" w:colFirst="0" w:colLast="0"/>
      <w:bookmarkEnd w:id="70"/>
      <w:r>
        <w:t>13.1 Election of officers</w:t>
      </w:r>
    </w:p>
    <w:p w:rsidR="0072721E" w:rsidRDefault="007F04EE">
      <w:pPr>
        <w:ind w:left="357"/>
        <w:rPr>
          <w:i/>
        </w:rPr>
      </w:pPr>
      <w:r>
        <w:rPr>
          <w:i/>
        </w:rPr>
        <w:t>The Commission will consider the appointment of the following officers:</w:t>
      </w:r>
    </w:p>
    <w:p w:rsidR="0072721E" w:rsidRDefault="007F04EE">
      <w:pPr>
        <w:numPr>
          <w:ilvl w:val="0"/>
          <w:numId w:val="54"/>
        </w:numPr>
        <w:spacing w:after="0"/>
      </w:pPr>
      <w:r>
        <w:t>SC Chair;</w:t>
      </w:r>
    </w:p>
    <w:p w:rsidR="0072721E" w:rsidRDefault="007F04EE">
      <w:pPr>
        <w:numPr>
          <w:ilvl w:val="0"/>
          <w:numId w:val="54"/>
        </w:numPr>
        <w:spacing w:after="0"/>
      </w:pPr>
      <w:r>
        <w:t>SC Vice Chair; and</w:t>
      </w:r>
    </w:p>
    <w:p w:rsidR="0072721E" w:rsidRDefault="007F04EE">
      <w:pPr>
        <w:numPr>
          <w:ilvl w:val="0"/>
          <w:numId w:val="54"/>
        </w:numPr>
      </w:pPr>
      <w:r>
        <w:t>FAC Co-Chair</w:t>
      </w:r>
    </w:p>
    <w:p w:rsidR="0072721E" w:rsidRDefault="0072721E">
      <w:pPr>
        <w:ind w:left="0"/>
      </w:pPr>
    </w:p>
    <w:p w:rsidR="0072721E" w:rsidRDefault="007F04EE">
      <w:pPr>
        <w:pStyle w:val="Heading2"/>
        <w:ind w:left="357"/>
      </w:pPr>
      <w:bookmarkStart w:id="71" w:name="_anbemmgvdegl" w:colFirst="0" w:colLast="0"/>
      <w:bookmarkEnd w:id="71"/>
      <w:r>
        <w:t>13.2 Future meetings</w:t>
      </w:r>
    </w:p>
    <w:p w:rsidR="0072721E" w:rsidRDefault="007F04EE">
      <w:pPr>
        <w:ind w:left="357"/>
        <w:rPr>
          <w:i/>
        </w:rPr>
      </w:pPr>
      <w:r>
        <w:rPr>
          <w:i/>
        </w:rPr>
        <w:t>The Commission will decide the venue and dates for its next meeting and those of its subsidiary bodies and working groups if required</w:t>
      </w:r>
    </w:p>
    <w:p w:rsidR="0072721E" w:rsidRDefault="0072721E">
      <w:pPr>
        <w:ind w:left="0"/>
      </w:pPr>
    </w:p>
    <w:p w:rsidR="0072721E" w:rsidRDefault="007F04EE">
      <w:pPr>
        <w:pStyle w:val="Heading1"/>
        <w:spacing w:after="200"/>
        <w:rPr>
          <w:b w:val="0"/>
          <w:i/>
          <w:color w:val="000000"/>
          <w:sz w:val="18"/>
          <w:szCs w:val="18"/>
        </w:rPr>
      </w:pPr>
      <w:bookmarkStart w:id="72" w:name="_1opuj5n" w:colFirst="0" w:colLast="0"/>
      <w:bookmarkEnd w:id="72"/>
      <w:r>
        <w:t>AGENDA ITEM 14</w:t>
      </w:r>
      <w:r>
        <w:tab/>
        <w:t xml:space="preserve">OTHER MATTERS </w:t>
      </w:r>
    </w:p>
    <w:p w:rsidR="0072721E" w:rsidRDefault="007F04EE">
      <w:pPr>
        <w:pBdr>
          <w:top w:val="nil"/>
          <w:left w:val="nil"/>
          <w:bottom w:val="nil"/>
          <w:right w:val="nil"/>
          <w:between w:val="nil"/>
        </w:pBdr>
        <w:ind w:left="357" w:hanging="357"/>
        <w:rPr>
          <w:i/>
          <w:sz w:val="18"/>
          <w:szCs w:val="18"/>
        </w:rPr>
      </w:pPr>
      <w:r>
        <w:rPr>
          <w:i/>
          <w:sz w:val="18"/>
          <w:szCs w:val="18"/>
        </w:rPr>
        <w:t>Dueto the constraints of online meeting, CCMs are respectfully asked to advise the Secretariat of any issue they wish to raise under this agenda item by close of business on Tuesday 16 November 2021(Pohnpei time). Issues advised after due date may not be entertained.</w:t>
      </w:r>
    </w:p>
    <w:p w:rsidR="0072721E" w:rsidRDefault="0072721E">
      <w:pPr>
        <w:pBdr>
          <w:top w:val="nil"/>
          <w:left w:val="nil"/>
          <w:bottom w:val="nil"/>
          <w:right w:val="nil"/>
          <w:between w:val="nil"/>
        </w:pBdr>
        <w:ind w:left="0"/>
        <w:rPr>
          <w:color w:val="000000"/>
        </w:rPr>
      </w:pPr>
    </w:p>
    <w:p w:rsidR="0072721E" w:rsidRDefault="007F04EE">
      <w:pPr>
        <w:pStyle w:val="Heading1"/>
        <w:spacing w:after="200"/>
        <w:rPr>
          <w:b w:val="0"/>
          <w:i/>
          <w:color w:val="000000"/>
          <w:sz w:val="18"/>
          <w:szCs w:val="18"/>
        </w:rPr>
      </w:pPr>
      <w:bookmarkStart w:id="73" w:name="_48pi1tg" w:colFirst="0" w:colLast="0"/>
      <w:bookmarkEnd w:id="73"/>
      <w:r>
        <w:t>AGENDA ITEM 15</w:t>
      </w:r>
      <w:r>
        <w:tab/>
        <w:t>SUMMARY REPORT OF THE WCPFC18</w:t>
      </w:r>
    </w:p>
    <w:p w:rsidR="0072721E" w:rsidRDefault="007F04EE">
      <w:pPr>
        <w:pBdr>
          <w:top w:val="nil"/>
          <w:left w:val="nil"/>
          <w:bottom w:val="nil"/>
          <w:right w:val="nil"/>
          <w:between w:val="nil"/>
        </w:pBdr>
        <w:ind w:left="357" w:hanging="357"/>
        <w:rPr>
          <w:color w:val="000000"/>
        </w:rPr>
      </w:pPr>
      <w:r>
        <w:rPr>
          <w:i/>
          <w:sz w:val="18"/>
          <w:szCs w:val="18"/>
        </w:rPr>
        <w:t>The Chair will explain the process for the distribution of the Outcomes Document of the WCPFC18 meeting and the adoption out of session of its Summary Report</w:t>
      </w:r>
      <w:r>
        <w:rPr>
          <w:i/>
          <w:color w:val="000000"/>
          <w:sz w:val="18"/>
          <w:szCs w:val="18"/>
        </w:rPr>
        <w:t>.</w:t>
      </w:r>
    </w:p>
    <w:p w:rsidR="0072721E" w:rsidRDefault="007F04EE">
      <w:pPr>
        <w:pStyle w:val="Heading1"/>
        <w:spacing w:after="200"/>
      </w:pPr>
      <w:bookmarkStart w:id="74" w:name="_2nusc19" w:colFirst="0" w:colLast="0"/>
      <w:bookmarkEnd w:id="74"/>
      <w:r>
        <w:t>AGENDA ITEM 16</w:t>
      </w:r>
      <w:r>
        <w:tab/>
        <w:t>CLOSE OF MEETING</w:t>
      </w:r>
    </w:p>
    <w:p w:rsidR="0072721E" w:rsidRDefault="007F04EE">
      <w:pPr>
        <w:pBdr>
          <w:top w:val="nil"/>
          <w:left w:val="nil"/>
          <w:bottom w:val="nil"/>
          <w:right w:val="nil"/>
          <w:between w:val="nil"/>
        </w:pBdr>
        <w:ind w:left="357" w:hanging="357"/>
        <w:rPr>
          <w:i/>
          <w:sz w:val="18"/>
          <w:szCs w:val="18"/>
        </w:rPr>
      </w:pPr>
      <w:r>
        <w:rPr>
          <w:i/>
          <w:sz w:val="18"/>
          <w:szCs w:val="18"/>
        </w:rPr>
        <w:t>The meeting is scheduled to close on Tuesday 7th December 2021 (Pohnpei time)</w:t>
      </w:r>
    </w:p>
    <w:p w:rsidR="0072721E" w:rsidRDefault="007F04EE">
      <w:pPr>
        <w:pBdr>
          <w:top w:val="nil"/>
          <w:left w:val="nil"/>
          <w:bottom w:val="nil"/>
          <w:right w:val="nil"/>
          <w:between w:val="nil"/>
        </w:pBdr>
        <w:ind w:left="357" w:hanging="357"/>
        <w:rPr>
          <w:i/>
          <w:sz w:val="18"/>
          <w:szCs w:val="18"/>
        </w:rPr>
      </w:pPr>
      <w:r>
        <w:br w:type="page"/>
      </w:r>
    </w:p>
    <w:p w:rsidR="0072721E" w:rsidRDefault="0072721E">
      <w:pPr>
        <w:pBdr>
          <w:top w:val="nil"/>
          <w:left w:val="nil"/>
          <w:bottom w:val="nil"/>
          <w:right w:val="nil"/>
          <w:between w:val="nil"/>
        </w:pBdr>
        <w:ind w:left="357" w:hanging="357"/>
        <w:rPr>
          <w:i/>
          <w:sz w:val="18"/>
          <w:szCs w:val="18"/>
        </w:rPr>
      </w:pPr>
    </w:p>
    <w:p w:rsidR="0072721E" w:rsidRDefault="007F04EE">
      <w:pPr>
        <w:pStyle w:val="Heading1"/>
        <w:ind w:left="0"/>
      </w:pPr>
      <w:bookmarkStart w:id="75" w:name="_ej04v6s3j5sr" w:colFirst="0" w:colLast="0"/>
      <w:bookmarkEnd w:id="75"/>
      <w:r>
        <w:t>Annex A - SC17 OUTCOMES</w:t>
      </w:r>
    </w:p>
    <w:p w:rsidR="0072721E" w:rsidRDefault="0072721E">
      <w:pPr>
        <w:ind w:left="0"/>
        <w:rPr>
          <w:b/>
          <w:sz w:val="20"/>
          <w:szCs w:val="20"/>
        </w:rPr>
      </w:pPr>
    </w:p>
    <w:p w:rsidR="0072721E" w:rsidRDefault="007F04EE">
      <w:pPr>
        <w:keepNext/>
        <w:keepLines/>
        <w:spacing w:after="0"/>
        <w:ind w:left="720" w:hanging="360"/>
        <w:jc w:val="left"/>
        <w:rPr>
          <w:b/>
          <w:sz w:val="28"/>
          <w:szCs w:val="28"/>
        </w:rPr>
      </w:pPr>
      <w:r>
        <w:rPr>
          <w:b/>
          <w:sz w:val="28"/>
          <w:szCs w:val="28"/>
        </w:rPr>
        <w:t>Recommendations from SC17 not considered elsewhere in the WCPFC18 agenda.</w:t>
      </w:r>
    </w:p>
    <w:p w:rsidR="0072721E" w:rsidRDefault="0072721E">
      <w:pPr>
        <w:keepNext/>
        <w:keepLines/>
        <w:spacing w:after="0"/>
        <w:ind w:left="720" w:hanging="360"/>
        <w:jc w:val="left"/>
        <w:rPr>
          <w:b/>
          <w:sz w:val="28"/>
          <w:szCs w:val="28"/>
        </w:rPr>
      </w:pPr>
    </w:p>
    <w:tbl>
      <w:tblPr>
        <w:tblStyle w:val="affb"/>
        <w:tblW w:w="9600"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80"/>
        <w:gridCol w:w="2820"/>
      </w:tblGrid>
      <w:tr w:rsidR="0072721E">
        <w:tc>
          <w:tcPr>
            <w:tcW w:w="6780" w:type="dxa"/>
            <w:shd w:val="clear" w:color="auto" w:fill="auto"/>
            <w:tcMar>
              <w:top w:w="100" w:type="dxa"/>
              <w:left w:w="100" w:type="dxa"/>
              <w:bottom w:w="100" w:type="dxa"/>
              <w:right w:w="100" w:type="dxa"/>
            </w:tcMar>
          </w:tcPr>
          <w:p w:rsidR="0072721E" w:rsidRDefault="007F04EE">
            <w:pPr>
              <w:widowControl w:val="0"/>
              <w:spacing w:after="0"/>
              <w:ind w:left="0"/>
              <w:jc w:val="left"/>
              <w:rPr>
                <w:b/>
                <w:sz w:val="28"/>
                <w:szCs w:val="28"/>
              </w:rPr>
            </w:pPr>
            <w:r>
              <w:rPr>
                <w:b/>
                <w:sz w:val="28"/>
                <w:szCs w:val="28"/>
              </w:rPr>
              <w:t>Issue</w:t>
            </w:r>
          </w:p>
        </w:tc>
        <w:tc>
          <w:tcPr>
            <w:tcW w:w="2820" w:type="dxa"/>
            <w:shd w:val="clear" w:color="auto" w:fill="auto"/>
            <w:tcMar>
              <w:top w:w="100" w:type="dxa"/>
              <w:left w:w="100" w:type="dxa"/>
              <w:bottom w:w="100" w:type="dxa"/>
              <w:right w:w="100" w:type="dxa"/>
            </w:tcMar>
          </w:tcPr>
          <w:p w:rsidR="0072721E" w:rsidRDefault="007F04EE">
            <w:pPr>
              <w:widowControl w:val="0"/>
              <w:spacing w:after="0"/>
              <w:ind w:left="0"/>
              <w:jc w:val="left"/>
              <w:rPr>
                <w:b/>
                <w:sz w:val="28"/>
                <w:szCs w:val="28"/>
              </w:rPr>
            </w:pPr>
            <w:r>
              <w:rPr>
                <w:b/>
                <w:sz w:val="28"/>
                <w:szCs w:val="28"/>
              </w:rPr>
              <w:t>Commentaries</w:t>
            </w:r>
          </w:p>
        </w:tc>
      </w:tr>
      <w:tr w:rsidR="0072721E">
        <w:trPr>
          <w:trHeight w:val="480"/>
        </w:trPr>
        <w:tc>
          <w:tcPr>
            <w:tcW w:w="9600" w:type="dxa"/>
            <w:gridSpan w:val="2"/>
            <w:shd w:val="clear" w:color="auto" w:fill="auto"/>
            <w:tcMar>
              <w:top w:w="100" w:type="dxa"/>
              <w:left w:w="100" w:type="dxa"/>
              <w:bottom w:w="100" w:type="dxa"/>
              <w:right w:w="100" w:type="dxa"/>
            </w:tcMar>
          </w:tcPr>
          <w:p w:rsidR="0072721E" w:rsidRDefault="007F04EE">
            <w:pPr>
              <w:keepNext/>
              <w:keepLines/>
              <w:spacing w:after="0"/>
              <w:ind w:left="720" w:hanging="360"/>
              <w:jc w:val="left"/>
              <w:rPr>
                <w:b/>
                <w:sz w:val="26"/>
                <w:szCs w:val="26"/>
              </w:rPr>
            </w:pPr>
            <w:bookmarkStart w:id="76" w:name="_gjdgxs" w:colFirst="0" w:colLast="0"/>
            <w:bookmarkEnd w:id="76"/>
            <w:r>
              <w:rPr>
                <w:b/>
                <w:sz w:val="26"/>
                <w:szCs w:val="26"/>
              </w:rPr>
              <w:t>AGENDA ITEM 2 — DATA AND STATISTICS THEME</w:t>
            </w:r>
          </w:p>
          <w:p w:rsidR="0072721E" w:rsidRDefault="0072721E">
            <w:pPr>
              <w:widowControl w:val="0"/>
              <w:spacing w:after="0"/>
              <w:ind w:left="0"/>
              <w:jc w:val="left"/>
              <w:rPr>
                <w:b/>
                <w:sz w:val="28"/>
                <w:szCs w:val="28"/>
              </w:rPr>
            </w:pPr>
          </w:p>
        </w:tc>
      </w:tr>
      <w:tr w:rsidR="0072721E">
        <w:tc>
          <w:tcPr>
            <w:tcW w:w="6780" w:type="dxa"/>
            <w:shd w:val="clear" w:color="auto" w:fill="auto"/>
            <w:tcMar>
              <w:top w:w="100" w:type="dxa"/>
              <w:left w:w="100" w:type="dxa"/>
              <w:bottom w:w="100" w:type="dxa"/>
              <w:right w:w="100" w:type="dxa"/>
            </w:tcMar>
          </w:tcPr>
          <w:p w:rsidR="0072721E" w:rsidRDefault="007F04EE">
            <w:pPr>
              <w:keepNext/>
              <w:numPr>
                <w:ilvl w:val="1"/>
                <w:numId w:val="42"/>
              </w:numPr>
              <w:spacing w:after="0"/>
              <w:ind w:left="0"/>
              <w:rPr>
                <w:sz w:val="24"/>
                <w:szCs w:val="24"/>
              </w:rPr>
            </w:pPr>
            <w:r>
              <w:rPr>
                <w:b/>
                <w:i/>
                <w:sz w:val="24"/>
                <w:szCs w:val="24"/>
              </w:rPr>
              <w:t xml:space="preserve">Data gaps of the Commission </w:t>
            </w:r>
          </w:p>
          <w:p w:rsidR="0072721E" w:rsidRDefault="0072721E">
            <w:pPr>
              <w:spacing w:after="0"/>
              <w:ind w:left="0"/>
              <w:rPr>
                <w:sz w:val="24"/>
                <w:szCs w:val="24"/>
              </w:rPr>
            </w:pPr>
          </w:p>
          <w:p w:rsidR="0072721E" w:rsidRDefault="007F04EE">
            <w:pPr>
              <w:spacing w:after="0"/>
              <w:ind w:left="1080" w:hanging="360"/>
              <w:rPr>
                <w:sz w:val="24"/>
                <w:szCs w:val="24"/>
              </w:rPr>
            </w:pPr>
            <w:r>
              <w:rPr>
                <w:sz w:val="24"/>
                <w:szCs w:val="24"/>
              </w:rPr>
              <w:t>Recommendations</w:t>
            </w:r>
          </w:p>
          <w:p w:rsidR="0072721E" w:rsidRDefault="0072721E">
            <w:pPr>
              <w:spacing w:after="0"/>
              <w:ind w:left="1080" w:hanging="360"/>
              <w:rPr>
                <w:sz w:val="24"/>
                <w:szCs w:val="24"/>
              </w:rPr>
            </w:pPr>
          </w:p>
          <w:p w:rsidR="0072721E" w:rsidRDefault="007F04EE">
            <w:pPr>
              <w:numPr>
                <w:ilvl w:val="0"/>
                <w:numId w:val="50"/>
              </w:numPr>
              <w:spacing w:after="0"/>
              <w:ind w:left="0"/>
            </w:pPr>
            <w:bookmarkStart w:id="77" w:name="_30j0zll" w:colFirst="0" w:colLast="0"/>
            <w:bookmarkEnd w:id="77"/>
            <w:r>
              <w:rPr>
                <w:sz w:val="24"/>
                <w:szCs w:val="24"/>
              </w:rPr>
              <w:t>SC17 encouraged CCMs to resume observer coverage in their fisheries as soon as safe and logistically feasible to restore an important flow of scientific information to the Commission.</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recommended the Scientific Services Provider (SSP) enhance the scientific data submission guidelines by preparing operational data field tables for longline, purse seine and pole and line operational data for SC18 review.</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recommended publishing aggregated size data (data fields as listed in SC17-ST-WP-01, section 4.1) via the WCPFC Public Domain webpage, after CCMs have advised the SSP on which of their size data submissions should be excluded. In this regard, CCMs are requested to advise the SSP of the size data to be excluded before 31 December 2021, after which time the SSP will proceed to publish the WCPFC Public Domain size data based on this advice.</w:t>
            </w:r>
          </w:p>
          <w:p w:rsidR="0072721E" w:rsidRDefault="0072721E">
            <w:pPr>
              <w:spacing w:after="0"/>
              <w:ind w:left="0"/>
              <w:rPr>
                <w:sz w:val="24"/>
                <w:szCs w:val="24"/>
              </w:rPr>
            </w:pPr>
          </w:p>
          <w:p w:rsidR="0072721E" w:rsidRDefault="007F04EE">
            <w:pPr>
              <w:widowControl w:val="0"/>
              <w:numPr>
                <w:ilvl w:val="0"/>
                <w:numId w:val="50"/>
              </w:numPr>
              <w:spacing w:after="0"/>
              <w:ind w:left="0"/>
              <w:jc w:val="left"/>
            </w:pPr>
            <w:r>
              <w:rPr>
                <w:sz w:val="24"/>
                <w:szCs w:val="24"/>
              </w:rPr>
              <w:t>SC17 recommended that the SSP add a new annex to the data gaps paper to include a breakdown of the coverage levels for each operational data field by year and fleet.</w:t>
            </w:r>
          </w:p>
        </w:tc>
        <w:tc>
          <w:tcPr>
            <w:tcW w:w="2820" w:type="dxa"/>
            <w:shd w:val="clear" w:color="auto" w:fill="auto"/>
            <w:tcMar>
              <w:top w:w="100" w:type="dxa"/>
              <w:left w:w="100" w:type="dxa"/>
              <w:bottom w:w="100" w:type="dxa"/>
              <w:right w:w="100" w:type="dxa"/>
            </w:tcMar>
          </w:tcPr>
          <w:p w:rsidR="0072721E" w:rsidRDefault="007F04EE">
            <w:pPr>
              <w:widowControl w:val="0"/>
              <w:spacing w:after="0"/>
              <w:ind w:left="0"/>
              <w:jc w:val="left"/>
              <w:rPr>
                <w:sz w:val="24"/>
                <w:szCs w:val="24"/>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numPr>
                <w:ilvl w:val="2"/>
                <w:numId w:val="58"/>
              </w:numPr>
              <w:spacing w:after="0"/>
              <w:ind w:left="0"/>
              <w:rPr>
                <w:b/>
                <w:i/>
                <w:sz w:val="24"/>
                <w:szCs w:val="24"/>
              </w:rPr>
            </w:pPr>
            <w:r>
              <w:rPr>
                <w:b/>
                <w:i/>
                <w:sz w:val="24"/>
                <w:szCs w:val="24"/>
              </w:rPr>
              <w:t>Potential use of cannery data</w:t>
            </w:r>
          </w:p>
          <w:p w:rsidR="0072721E" w:rsidRDefault="0072721E">
            <w:pPr>
              <w:spacing w:after="0"/>
              <w:ind w:left="1080" w:hanging="360"/>
              <w:rPr>
                <w:sz w:val="24"/>
                <w:szCs w:val="24"/>
              </w:rPr>
            </w:pPr>
          </w:p>
          <w:p w:rsidR="0072721E" w:rsidRDefault="007F04EE">
            <w:pPr>
              <w:spacing w:after="0"/>
              <w:ind w:left="1080" w:hanging="360"/>
              <w:rPr>
                <w:sz w:val="24"/>
                <w:szCs w:val="24"/>
              </w:rPr>
            </w:pPr>
            <w:r>
              <w:rPr>
                <w:sz w:val="24"/>
                <w:szCs w:val="24"/>
              </w:rPr>
              <w:t>Recommendation</w:t>
            </w:r>
          </w:p>
          <w:p w:rsidR="0072721E" w:rsidRDefault="0072721E">
            <w:pPr>
              <w:spacing w:after="0"/>
              <w:ind w:left="1080" w:hanging="360"/>
              <w:rPr>
                <w:sz w:val="24"/>
                <w:szCs w:val="24"/>
              </w:rPr>
            </w:pPr>
          </w:p>
          <w:p w:rsidR="0072721E" w:rsidRDefault="007F04EE">
            <w:pPr>
              <w:numPr>
                <w:ilvl w:val="0"/>
                <w:numId w:val="50"/>
              </w:numPr>
              <w:spacing w:after="0"/>
              <w:ind w:left="0"/>
            </w:pPr>
            <w:r>
              <w:rPr>
                <w:sz w:val="24"/>
                <w:szCs w:val="24"/>
              </w:rPr>
              <w:t xml:space="preserve">SC17 recommended the endorsement of the </w:t>
            </w:r>
            <w:r>
              <w:rPr>
                <w:i/>
                <w:sz w:val="24"/>
                <w:szCs w:val="24"/>
              </w:rPr>
              <w:t>Draft Guidelines for the Voluntary Submission of Purse Seine Processor Data by CCMs</w:t>
            </w:r>
            <w:r>
              <w:rPr>
                <w:sz w:val="24"/>
                <w:szCs w:val="24"/>
              </w:rPr>
              <w:t xml:space="preserve"> to the Commission, and that the draft guidelines be forwarded to TCC17 and WCPFC18 for consideration. SC17 also recommended that TCC17 and WCPFC18 consider how to handle cannery data under the current WCPFC data rules, including updating the WCPFC data rules to include processor data as non-Public Domain (high risk classification) data. </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keepNext/>
              <w:numPr>
                <w:ilvl w:val="1"/>
                <w:numId w:val="58"/>
              </w:numPr>
              <w:spacing w:after="0"/>
              <w:ind w:left="0"/>
              <w:rPr>
                <w:b/>
                <w:i/>
                <w:sz w:val="24"/>
                <w:szCs w:val="24"/>
              </w:rPr>
            </w:pPr>
            <w:r>
              <w:rPr>
                <w:b/>
                <w:i/>
                <w:sz w:val="24"/>
                <w:szCs w:val="24"/>
              </w:rPr>
              <w:t>Other commercial fisheries for bigeye, yellowfin and skipjack tuna</w:t>
            </w:r>
          </w:p>
          <w:p w:rsidR="0072721E" w:rsidRDefault="0072721E">
            <w:pPr>
              <w:spacing w:after="0"/>
              <w:ind w:left="0"/>
              <w:jc w:val="left"/>
              <w:rPr>
                <w:sz w:val="24"/>
                <w:szCs w:val="24"/>
              </w:rPr>
            </w:pPr>
          </w:p>
          <w:p w:rsidR="0072721E" w:rsidRDefault="007F04EE">
            <w:pPr>
              <w:spacing w:after="0"/>
              <w:ind w:left="0"/>
              <w:jc w:val="left"/>
              <w:rPr>
                <w:sz w:val="24"/>
                <w:szCs w:val="24"/>
              </w:rPr>
            </w:pPr>
            <w:r>
              <w:rPr>
                <w:sz w:val="24"/>
                <w:szCs w:val="24"/>
              </w:rPr>
              <w:t>Recommendations</w:t>
            </w:r>
          </w:p>
          <w:p w:rsidR="0072721E" w:rsidRDefault="0072721E">
            <w:pPr>
              <w:spacing w:after="0"/>
              <w:ind w:left="0"/>
              <w:jc w:val="left"/>
              <w:rPr>
                <w:sz w:val="24"/>
                <w:szCs w:val="24"/>
              </w:rPr>
            </w:pPr>
          </w:p>
          <w:p w:rsidR="0072721E" w:rsidRDefault="007F04EE">
            <w:pPr>
              <w:numPr>
                <w:ilvl w:val="0"/>
                <w:numId w:val="50"/>
              </w:numPr>
              <w:spacing w:after="0"/>
              <w:ind w:left="0"/>
            </w:pPr>
            <w:r>
              <w:rPr>
                <w:sz w:val="24"/>
                <w:szCs w:val="24"/>
              </w:rPr>
              <w:t>SC17 reviewed information provided by Indonesia and the Philippines to inform a Commission discussion on the application of paragraph 51 of CMM 2020-01.</w:t>
            </w:r>
          </w:p>
          <w:p w:rsidR="0072721E" w:rsidRDefault="007F04EE">
            <w:pPr>
              <w:numPr>
                <w:ilvl w:val="1"/>
                <w:numId w:val="57"/>
              </w:numPr>
              <w:spacing w:after="0"/>
              <w:ind w:left="1080"/>
              <w:rPr>
                <w:sz w:val="24"/>
                <w:szCs w:val="24"/>
              </w:rPr>
            </w:pPr>
            <w:r>
              <w:rPr>
                <w:sz w:val="24"/>
                <w:szCs w:val="24"/>
              </w:rPr>
              <w:t>SC17 noted that paragraph 3 of CMM 2020-01 limits the measure to the high seas and EEZs, and based on the information presented recommended that paragraph 51 would not apply to the following fisheries which are restricted to territorial seas and archipelagic waters:</w:t>
            </w:r>
          </w:p>
          <w:p w:rsidR="0072721E" w:rsidRDefault="007F04EE">
            <w:pPr>
              <w:numPr>
                <w:ilvl w:val="2"/>
                <w:numId w:val="57"/>
              </w:numPr>
              <w:spacing w:after="0"/>
              <w:ind w:left="1620"/>
              <w:rPr>
                <w:sz w:val="24"/>
                <w:szCs w:val="24"/>
              </w:rPr>
            </w:pPr>
            <w:r>
              <w:rPr>
                <w:sz w:val="24"/>
                <w:szCs w:val="24"/>
              </w:rPr>
              <w:t>Small-scale hook-and-line fisheries</w:t>
            </w:r>
          </w:p>
          <w:p w:rsidR="0072721E" w:rsidRDefault="007F04EE">
            <w:pPr>
              <w:numPr>
                <w:ilvl w:val="2"/>
                <w:numId w:val="57"/>
              </w:numPr>
              <w:spacing w:after="0"/>
              <w:ind w:left="1620"/>
              <w:rPr>
                <w:sz w:val="24"/>
                <w:szCs w:val="24"/>
              </w:rPr>
            </w:pPr>
            <w:r>
              <w:rPr>
                <w:sz w:val="24"/>
                <w:szCs w:val="24"/>
              </w:rPr>
              <w:t>Small-scale troll fisheries</w:t>
            </w:r>
          </w:p>
          <w:p w:rsidR="0072721E" w:rsidRDefault="007F04EE">
            <w:pPr>
              <w:numPr>
                <w:ilvl w:val="2"/>
                <w:numId w:val="57"/>
              </w:numPr>
              <w:spacing w:after="0"/>
              <w:ind w:left="1620"/>
              <w:rPr>
                <w:sz w:val="24"/>
                <w:szCs w:val="24"/>
              </w:rPr>
            </w:pPr>
            <w:r>
              <w:rPr>
                <w:sz w:val="24"/>
                <w:szCs w:val="24"/>
              </w:rPr>
              <w:t>Small-scale gillnet fisheries</w:t>
            </w:r>
          </w:p>
          <w:p w:rsidR="0072721E" w:rsidRDefault="007F04EE">
            <w:pPr>
              <w:numPr>
                <w:ilvl w:val="2"/>
                <w:numId w:val="57"/>
              </w:numPr>
              <w:spacing w:after="0"/>
              <w:ind w:left="1620"/>
              <w:rPr>
                <w:sz w:val="24"/>
                <w:szCs w:val="24"/>
              </w:rPr>
            </w:pPr>
            <w:r>
              <w:rPr>
                <w:sz w:val="24"/>
                <w:szCs w:val="24"/>
              </w:rPr>
              <w:t>Small-scale pole and line (funai – Indonesia)</w:t>
            </w:r>
          </w:p>
          <w:p w:rsidR="0072721E" w:rsidRDefault="007F04EE">
            <w:pPr>
              <w:numPr>
                <w:ilvl w:val="2"/>
                <w:numId w:val="57"/>
              </w:numPr>
              <w:spacing w:after="0"/>
              <w:ind w:left="1620"/>
              <w:rPr>
                <w:sz w:val="24"/>
                <w:szCs w:val="24"/>
              </w:rPr>
            </w:pPr>
            <w:r>
              <w:rPr>
                <w:sz w:val="24"/>
                <w:szCs w:val="24"/>
              </w:rPr>
              <w:t>Pajeko (Indonesia mini-purse seine)</w:t>
            </w:r>
          </w:p>
          <w:p w:rsidR="0072721E" w:rsidRDefault="007F04EE">
            <w:pPr>
              <w:numPr>
                <w:ilvl w:val="2"/>
                <w:numId w:val="57"/>
              </w:numPr>
              <w:spacing w:after="0"/>
              <w:ind w:left="1620"/>
              <w:rPr>
                <w:sz w:val="24"/>
                <w:szCs w:val="24"/>
              </w:rPr>
            </w:pPr>
            <w:r>
              <w:rPr>
                <w:sz w:val="24"/>
                <w:szCs w:val="24"/>
              </w:rPr>
              <w:t>Bagnet, beach seine, artisanal longline and other artisanal gears with very minor tuna catch</w:t>
            </w:r>
          </w:p>
          <w:p w:rsidR="0072721E" w:rsidRDefault="007F04EE">
            <w:pPr>
              <w:numPr>
                <w:ilvl w:val="1"/>
                <w:numId w:val="57"/>
              </w:numPr>
              <w:spacing w:after="0"/>
              <w:ind w:left="1080"/>
              <w:rPr>
                <w:sz w:val="24"/>
                <w:szCs w:val="24"/>
              </w:rPr>
            </w:pPr>
            <w:r>
              <w:rPr>
                <w:sz w:val="24"/>
                <w:szCs w:val="24"/>
              </w:rPr>
              <w:t>SC17 recommended that paragraph 51 of CMM 2020-01 applies to the following fisheries:</w:t>
            </w:r>
          </w:p>
          <w:p w:rsidR="0072721E" w:rsidRDefault="007F04EE">
            <w:pPr>
              <w:numPr>
                <w:ilvl w:val="2"/>
                <w:numId w:val="57"/>
              </w:numPr>
              <w:spacing w:after="0"/>
              <w:ind w:left="1620"/>
              <w:rPr>
                <w:sz w:val="24"/>
                <w:szCs w:val="24"/>
              </w:rPr>
            </w:pPr>
            <w:r>
              <w:rPr>
                <w:sz w:val="24"/>
                <w:szCs w:val="24"/>
              </w:rPr>
              <w:t>Indonesia pole and line fishery fishing outside archipelagic waters and territorial seas for vessels &gt;30 GT, and</w:t>
            </w:r>
          </w:p>
          <w:p w:rsidR="0072721E" w:rsidRDefault="007F04EE">
            <w:pPr>
              <w:numPr>
                <w:ilvl w:val="2"/>
                <w:numId w:val="57"/>
              </w:numPr>
              <w:spacing w:after="0"/>
              <w:ind w:left="1620"/>
              <w:rPr>
                <w:sz w:val="24"/>
                <w:szCs w:val="24"/>
              </w:rPr>
            </w:pPr>
            <w:r>
              <w:rPr>
                <w:sz w:val="24"/>
                <w:szCs w:val="24"/>
              </w:rPr>
              <w:t>The “large-fish” handline fishery in Indonesia and the Philippines fishing outside archipelagic waters and territorial seas for vessels &gt;30 GT.</w:t>
            </w:r>
          </w:p>
          <w:p w:rsidR="0072721E" w:rsidRDefault="007F04EE">
            <w:pPr>
              <w:numPr>
                <w:ilvl w:val="1"/>
                <w:numId w:val="57"/>
              </w:numPr>
              <w:spacing w:after="0"/>
              <w:ind w:left="1080"/>
              <w:rPr>
                <w:sz w:val="24"/>
                <w:szCs w:val="24"/>
              </w:rPr>
            </w:pPr>
            <w:r>
              <w:rPr>
                <w:sz w:val="24"/>
                <w:szCs w:val="24"/>
              </w:rPr>
              <w:t>SC17 recognized that sufficient data exist to determine a baseline and annual catches for the Indonesia pole-and-line fishery and the Philippines large-fish handline fishery</w:t>
            </w:r>
          </w:p>
          <w:p w:rsidR="0072721E" w:rsidRDefault="007F04EE">
            <w:pPr>
              <w:numPr>
                <w:ilvl w:val="1"/>
                <w:numId w:val="57"/>
              </w:numPr>
              <w:spacing w:after="0"/>
              <w:ind w:left="1080"/>
              <w:rPr>
                <w:sz w:val="24"/>
                <w:szCs w:val="24"/>
              </w:rPr>
            </w:pPr>
            <w:r>
              <w:rPr>
                <w:sz w:val="24"/>
                <w:szCs w:val="24"/>
              </w:rPr>
              <w:t>SC17 recognized that insufficient data exist to derive a baseline for the Indonesia large-fish handline, and suggests that WCPFC consider developing a baseline using years where data are available.</w:t>
            </w:r>
          </w:p>
          <w:p w:rsidR="0072721E" w:rsidRDefault="007F04EE">
            <w:pPr>
              <w:numPr>
                <w:ilvl w:val="1"/>
                <w:numId w:val="57"/>
              </w:numPr>
              <w:spacing w:after="0"/>
              <w:ind w:left="1080"/>
              <w:rPr>
                <w:sz w:val="24"/>
                <w:szCs w:val="24"/>
              </w:rPr>
            </w:pPr>
            <w:r>
              <w:rPr>
                <w:sz w:val="24"/>
                <w:szCs w:val="24"/>
              </w:rPr>
              <w:t>Although CMM 2020-01 is not applicable to archipelagic waters, SC17 encouraged Indonesia and the Philippines to provide data from fisheries that operate in those areas for scientific purposes.</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keepNext/>
              <w:numPr>
                <w:ilvl w:val="1"/>
                <w:numId w:val="58"/>
              </w:numPr>
              <w:spacing w:after="0"/>
              <w:ind w:left="0"/>
              <w:rPr>
                <w:b/>
                <w:i/>
                <w:sz w:val="24"/>
                <w:szCs w:val="24"/>
              </w:rPr>
            </w:pPr>
            <w:r>
              <w:rPr>
                <w:b/>
                <w:i/>
                <w:sz w:val="24"/>
                <w:szCs w:val="24"/>
              </w:rPr>
              <w:t>Consideration of SC17-ST-IP-06 and SC17-ST-IP-10</w:t>
            </w:r>
          </w:p>
          <w:p w:rsidR="0072721E" w:rsidRDefault="0072721E">
            <w:pPr>
              <w:spacing w:after="0"/>
              <w:ind w:left="0"/>
              <w:jc w:val="left"/>
              <w:rPr>
                <w:sz w:val="24"/>
                <w:szCs w:val="24"/>
              </w:rPr>
            </w:pPr>
          </w:p>
          <w:p w:rsidR="0072721E" w:rsidRDefault="007F04EE">
            <w:pPr>
              <w:spacing w:after="0"/>
              <w:ind w:left="0"/>
              <w:jc w:val="left"/>
              <w:rPr>
                <w:sz w:val="24"/>
                <w:szCs w:val="24"/>
              </w:rPr>
            </w:pPr>
            <w:r>
              <w:rPr>
                <w:sz w:val="24"/>
                <w:szCs w:val="24"/>
              </w:rPr>
              <w:t>Recommendations</w:t>
            </w:r>
          </w:p>
          <w:p w:rsidR="0072721E" w:rsidRDefault="0072721E">
            <w:pPr>
              <w:spacing w:after="0"/>
              <w:ind w:left="0"/>
              <w:jc w:val="left"/>
              <w:rPr>
                <w:sz w:val="24"/>
                <w:szCs w:val="24"/>
              </w:rPr>
            </w:pPr>
          </w:p>
          <w:p w:rsidR="0072721E" w:rsidRDefault="007F04EE">
            <w:pPr>
              <w:numPr>
                <w:ilvl w:val="0"/>
                <w:numId w:val="50"/>
              </w:numPr>
              <w:spacing w:after="0"/>
              <w:ind w:left="0"/>
            </w:pPr>
            <w:r>
              <w:rPr>
                <w:sz w:val="24"/>
                <w:szCs w:val="24"/>
              </w:rPr>
              <w:t>SC17 recommended that Tables 6-9 on estimates of all purse seine bycatch (as presented in SC17-ST-IP-06) should be made publicly available in electronic format (EXCEL file on the WCPFC Public Domain Bycatch Data webpage) to facilitate extraction and use of data.</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recommended that future analyses providing estimates of purse seine bycatch include estimates of marine mammal bycatch to the species level, where possible, to allow for additional monitoring of bycatch and bycatch rates of marine mammal species.</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rPr>
          <w:trHeight w:val="480"/>
        </w:trPr>
        <w:tc>
          <w:tcPr>
            <w:tcW w:w="9600" w:type="dxa"/>
            <w:gridSpan w:val="2"/>
            <w:shd w:val="clear" w:color="auto" w:fill="auto"/>
            <w:tcMar>
              <w:top w:w="100" w:type="dxa"/>
              <w:left w:w="100" w:type="dxa"/>
              <w:bottom w:w="100" w:type="dxa"/>
              <w:right w:w="100" w:type="dxa"/>
            </w:tcMar>
          </w:tcPr>
          <w:p w:rsidR="0072721E" w:rsidRDefault="007F04EE">
            <w:pPr>
              <w:ind w:left="720" w:hanging="360"/>
              <w:jc w:val="left"/>
              <w:rPr>
                <w:b/>
                <w:sz w:val="26"/>
                <w:szCs w:val="26"/>
              </w:rPr>
            </w:pPr>
            <w:r>
              <w:rPr>
                <w:b/>
                <w:sz w:val="26"/>
                <w:szCs w:val="26"/>
              </w:rPr>
              <w:t>AGENDA ITEM 3 — STOCK ASSESSMENT THEME</w:t>
            </w:r>
          </w:p>
          <w:p w:rsidR="0072721E" w:rsidRDefault="0072721E">
            <w:pPr>
              <w:widowControl w:val="0"/>
              <w:spacing w:after="0"/>
              <w:ind w:left="0"/>
              <w:jc w:val="left"/>
              <w:rPr>
                <w:b/>
                <w:sz w:val="28"/>
                <w:szCs w:val="28"/>
              </w:rPr>
            </w:pPr>
          </w:p>
        </w:tc>
      </w:tr>
      <w:tr w:rsidR="0072721E">
        <w:tc>
          <w:tcPr>
            <w:tcW w:w="6780" w:type="dxa"/>
            <w:shd w:val="clear" w:color="auto" w:fill="auto"/>
            <w:tcMar>
              <w:top w:w="100" w:type="dxa"/>
              <w:left w:w="100" w:type="dxa"/>
              <w:bottom w:w="100" w:type="dxa"/>
              <w:right w:w="100" w:type="dxa"/>
            </w:tcMar>
          </w:tcPr>
          <w:p w:rsidR="0072721E" w:rsidRDefault="007F04EE">
            <w:pPr>
              <w:keepNext/>
              <w:spacing w:after="0"/>
              <w:ind w:left="0"/>
              <w:rPr>
                <w:b/>
                <w:i/>
                <w:sz w:val="24"/>
                <w:szCs w:val="24"/>
              </w:rPr>
            </w:pPr>
            <w:r>
              <w:rPr>
                <w:b/>
                <w:i/>
                <w:sz w:val="24"/>
                <w:szCs w:val="24"/>
              </w:rPr>
              <w:t>3.1 WCPO sharks</w:t>
            </w:r>
          </w:p>
          <w:p w:rsidR="0072721E" w:rsidRDefault="0072721E">
            <w:pPr>
              <w:keepNext/>
              <w:spacing w:after="0"/>
              <w:ind w:left="720"/>
              <w:rPr>
                <w:b/>
                <w:i/>
                <w:sz w:val="24"/>
                <w:szCs w:val="24"/>
              </w:rPr>
            </w:pPr>
          </w:p>
          <w:p w:rsidR="0072721E" w:rsidRDefault="007F04EE">
            <w:pPr>
              <w:ind w:left="0"/>
              <w:jc w:val="left"/>
              <w:rPr>
                <w:i/>
                <w:sz w:val="26"/>
                <w:szCs w:val="26"/>
              </w:rPr>
            </w:pPr>
            <w:r>
              <w:rPr>
                <w:i/>
                <w:sz w:val="26"/>
                <w:szCs w:val="26"/>
              </w:rPr>
              <w:t xml:space="preserve">3.1.1 Southwest Pacific blue shark (Prionace glauca) </w:t>
            </w:r>
          </w:p>
          <w:p w:rsidR="0072721E" w:rsidRDefault="0072721E">
            <w:pPr>
              <w:spacing w:after="0"/>
              <w:ind w:left="1080" w:hanging="360"/>
              <w:rPr>
                <w:sz w:val="24"/>
                <w:szCs w:val="24"/>
              </w:rPr>
            </w:pPr>
          </w:p>
          <w:p w:rsidR="0072721E" w:rsidRDefault="007F04EE">
            <w:pPr>
              <w:numPr>
                <w:ilvl w:val="0"/>
                <w:numId w:val="30"/>
              </w:numPr>
              <w:spacing w:after="0"/>
              <w:ind w:left="0"/>
              <w:rPr>
                <w:sz w:val="24"/>
                <w:szCs w:val="24"/>
              </w:rPr>
            </w:pPr>
            <w:r>
              <w:rPr>
                <w:sz w:val="24"/>
                <w:szCs w:val="24"/>
              </w:rPr>
              <w:t>Future research recommendations</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recommended that:</w:t>
            </w:r>
          </w:p>
          <w:p w:rsidR="0072721E" w:rsidRDefault="007F04EE">
            <w:pPr>
              <w:widowControl w:val="0"/>
              <w:numPr>
                <w:ilvl w:val="0"/>
                <w:numId w:val="56"/>
              </w:numPr>
              <w:spacing w:after="0"/>
            </w:pPr>
            <w:r>
              <w:rPr>
                <w:sz w:val="24"/>
                <w:szCs w:val="24"/>
              </w:rPr>
              <w:t>increased effort be made to re-construct catch histories for sharks (and other bycatch species) from a range of sources;</w:t>
            </w:r>
          </w:p>
          <w:p w:rsidR="0072721E" w:rsidRDefault="007F04EE">
            <w:pPr>
              <w:widowControl w:val="0"/>
              <w:numPr>
                <w:ilvl w:val="0"/>
                <w:numId w:val="56"/>
              </w:numPr>
              <w:spacing w:after="0"/>
            </w:pPr>
            <w:r>
              <w:rPr>
                <w:sz w:val="24"/>
                <w:szCs w:val="24"/>
              </w:rPr>
              <w:t>dynamic/non-equilibrium reference points, such as SB</w:t>
            </w:r>
            <w:r>
              <w:rPr>
                <w:sz w:val="24"/>
                <w:szCs w:val="24"/>
                <w:vertAlign w:val="subscript"/>
              </w:rPr>
              <w:t>F=0</w:t>
            </w:r>
            <w:r>
              <w:rPr>
                <w:sz w:val="24"/>
                <w:szCs w:val="24"/>
              </w:rPr>
              <w:t xml:space="preserve"> be investigated for shark stock status, as they may be more appropriate for fisheries with uncertain early exploitation history and strong environmental influences;</w:t>
            </w:r>
          </w:p>
          <w:p w:rsidR="0072721E" w:rsidRDefault="007F04EE">
            <w:pPr>
              <w:widowControl w:val="0"/>
              <w:numPr>
                <w:ilvl w:val="0"/>
                <w:numId w:val="56"/>
              </w:numPr>
              <w:spacing w:after="0"/>
            </w:pPr>
            <w:r>
              <w:rPr>
                <w:sz w:val="24"/>
                <w:szCs w:val="24"/>
              </w:rPr>
              <w:t>additional tagging be carried out using satellite tags in a range of locations, especially known nursery grounds in South-East Australia and New Zealand, as well as high seas areas to the north and east of New Zealand, where catch-rates are high;</w:t>
            </w:r>
          </w:p>
          <w:p w:rsidR="0072721E" w:rsidRDefault="007F04EE">
            <w:pPr>
              <w:numPr>
                <w:ilvl w:val="0"/>
                <w:numId w:val="56"/>
              </w:numPr>
              <w:spacing w:after="0"/>
            </w:pPr>
            <w:r>
              <w:rPr>
                <w:sz w:val="24"/>
                <w:szCs w:val="24"/>
              </w:rPr>
              <w:t xml:space="preserve">additional growth studies from a range of locations be undertaken to help build a better understanding of typical growth, as well as regional growth differences; </w:t>
            </w:r>
          </w:p>
          <w:p w:rsidR="0072721E" w:rsidRDefault="007F04EE">
            <w:pPr>
              <w:widowControl w:val="0"/>
              <w:numPr>
                <w:ilvl w:val="0"/>
                <w:numId w:val="56"/>
              </w:numPr>
              <w:spacing w:after="0"/>
            </w:pPr>
            <w:r>
              <w:rPr>
                <w:sz w:val="24"/>
                <w:szCs w:val="24"/>
              </w:rPr>
              <w:t>genetic/genomic studies be undertaken to augment the tagging work to help resolve these stock/sub-stock structure patterns;</w:t>
            </w:r>
          </w:p>
          <w:p w:rsidR="0072721E" w:rsidRDefault="007F04EE">
            <w:pPr>
              <w:widowControl w:val="0"/>
              <w:numPr>
                <w:ilvl w:val="0"/>
                <w:numId w:val="56"/>
              </w:numPr>
              <w:spacing w:after="0"/>
            </w:pPr>
            <w:r>
              <w:rPr>
                <w:sz w:val="24"/>
                <w:szCs w:val="24"/>
              </w:rPr>
              <w:t>aggregated data for key sharks are submitted as by ocean area not simply as WCPO and, where possible, these data should be retrospectively corrected; and</w:t>
            </w:r>
          </w:p>
          <w:p w:rsidR="0072721E" w:rsidRDefault="007F04EE">
            <w:pPr>
              <w:widowControl w:val="0"/>
              <w:numPr>
                <w:ilvl w:val="0"/>
                <w:numId w:val="56"/>
              </w:numPr>
              <w:spacing w:after="0"/>
            </w:pPr>
            <w:r>
              <w:rPr>
                <w:sz w:val="24"/>
                <w:szCs w:val="24"/>
              </w:rPr>
              <w:t>observers (or the vessel) should record the number of shark lines deployed per set or the number of floats with shark lines.</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keepNext/>
              <w:spacing w:after="0"/>
              <w:ind w:left="0"/>
              <w:rPr>
                <w:b/>
                <w:i/>
                <w:sz w:val="24"/>
                <w:szCs w:val="24"/>
              </w:rPr>
            </w:pPr>
            <w:r>
              <w:rPr>
                <w:b/>
                <w:i/>
                <w:sz w:val="24"/>
                <w:szCs w:val="24"/>
              </w:rPr>
              <w:t>3.2 Limit Reference Points for Species other than Tuna</w:t>
            </w:r>
          </w:p>
          <w:p w:rsidR="0072721E" w:rsidRDefault="0072721E">
            <w:pPr>
              <w:keepNext/>
              <w:spacing w:after="0"/>
              <w:ind w:left="720"/>
              <w:rPr>
                <w:b/>
                <w:i/>
                <w:sz w:val="24"/>
                <w:szCs w:val="24"/>
              </w:rPr>
            </w:pPr>
          </w:p>
          <w:p w:rsidR="0072721E" w:rsidRDefault="007F04EE">
            <w:pPr>
              <w:ind w:left="0"/>
              <w:jc w:val="left"/>
              <w:rPr>
                <w:i/>
                <w:sz w:val="24"/>
                <w:szCs w:val="24"/>
              </w:rPr>
            </w:pPr>
            <w:r>
              <w:rPr>
                <w:i/>
                <w:sz w:val="24"/>
                <w:szCs w:val="24"/>
              </w:rPr>
              <w:t xml:space="preserve">3.2.1 Limit reference points for elasmobranchs  </w:t>
            </w:r>
          </w:p>
          <w:p w:rsidR="0072721E" w:rsidRDefault="0072721E">
            <w:pPr>
              <w:spacing w:after="0"/>
              <w:ind w:left="0"/>
              <w:jc w:val="left"/>
              <w:rPr>
                <w:sz w:val="24"/>
                <w:szCs w:val="24"/>
              </w:rPr>
            </w:pPr>
          </w:p>
          <w:p w:rsidR="0072721E" w:rsidRDefault="007F04EE">
            <w:pPr>
              <w:spacing w:after="0"/>
              <w:ind w:left="0"/>
              <w:jc w:val="left"/>
              <w:rPr>
                <w:sz w:val="24"/>
                <w:szCs w:val="24"/>
              </w:rPr>
            </w:pPr>
            <w:r>
              <w:rPr>
                <w:sz w:val="24"/>
                <w:szCs w:val="24"/>
              </w:rPr>
              <w:t>Recommendations</w:t>
            </w:r>
          </w:p>
          <w:p w:rsidR="0072721E" w:rsidRDefault="0072721E">
            <w:pPr>
              <w:spacing w:after="0"/>
              <w:ind w:left="0"/>
              <w:jc w:val="left"/>
              <w:rPr>
                <w:sz w:val="24"/>
                <w:szCs w:val="24"/>
              </w:rPr>
            </w:pPr>
          </w:p>
          <w:p w:rsidR="0072721E" w:rsidRDefault="007F04EE">
            <w:pPr>
              <w:numPr>
                <w:ilvl w:val="0"/>
                <w:numId w:val="50"/>
              </w:numPr>
              <w:spacing w:after="0"/>
              <w:ind w:left="0"/>
            </w:pPr>
            <w:r>
              <w:rPr>
                <w:sz w:val="24"/>
                <w:szCs w:val="24"/>
              </w:rPr>
              <w:t>Noting the request from WCPFC16 to identity appropriate LRPs for elasmobranchs in the WCPO, SC17 reviewed the outcomes of Project 103 outlined in SC17-MI-WP-07 (</w:t>
            </w:r>
            <w:r>
              <w:rPr>
                <w:i/>
                <w:sz w:val="24"/>
                <w:szCs w:val="24"/>
              </w:rPr>
              <w:t>Appropriate Limit Reference Points for WCPO Elasmobranchs</w:t>
            </w:r>
            <w:r>
              <w:rPr>
                <w:sz w:val="24"/>
                <w:szCs w:val="24"/>
              </w:rPr>
              <w:t xml:space="preserve">). </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noted the comprehensive scope of the project report and that this work had built on the results of several other reports previously reviewed by the SC (SC10-MI-WP-07; SC11-EB-IP-13; SC14-MI-WP-07).</w:t>
            </w:r>
          </w:p>
          <w:p w:rsidR="0072721E" w:rsidRDefault="0072721E">
            <w:pPr>
              <w:spacing w:after="0"/>
              <w:ind w:left="720"/>
              <w:jc w:val="left"/>
              <w:rPr>
                <w:sz w:val="24"/>
                <w:szCs w:val="24"/>
              </w:rPr>
            </w:pPr>
          </w:p>
          <w:p w:rsidR="0072721E" w:rsidRDefault="007F04EE">
            <w:pPr>
              <w:numPr>
                <w:ilvl w:val="0"/>
                <w:numId w:val="50"/>
              </w:numPr>
              <w:spacing w:after="0"/>
              <w:ind w:left="0"/>
            </w:pPr>
            <w:r>
              <w:rPr>
                <w:sz w:val="24"/>
                <w:szCs w:val="24"/>
              </w:rPr>
              <w:t xml:space="preserve">SC17 noted and discussed the recommendations made in SC17-MI-WP-07 and conveyed the following conclusions to the Commission: </w:t>
            </w:r>
          </w:p>
          <w:p w:rsidR="0072721E" w:rsidRDefault="007F04EE">
            <w:pPr>
              <w:numPr>
                <w:ilvl w:val="0"/>
                <w:numId w:val="47"/>
              </w:numPr>
              <w:tabs>
                <w:tab w:val="left" w:pos="0"/>
              </w:tabs>
              <w:spacing w:after="0"/>
              <w:ind w:left="1080" w:hanging="357"/>
              <w:rPr>
                <w:sz w:val="24"/>
                <w:szCs w:val="24"/>
              </w:rPr>
            </w:pPr>
            <w:r>
              <w:rPr>
                <w:sz w:val="24"/>
                <w:szCs w:val="24"/>
              </w:rPr>
              <w:t xml:space="preserve">SC17 continued to support the tier-based approach first recommended by SC10: </w:t>
            </w:r>
          </w:p>
          <w:p w:rsidR="0072721E" w:rsidRDefault="007F04EE">
            <w:pPr>
              <w:numPr>
                <w:ilvl w:val="1"/>
                <w:numId w:val="47"/>
              </w:numPr>
              <w:tabs>
                <w:tab w:val="left" w:pos="0"/>
              </w:tabs>
              <w:spacing w:after="0"/>
              <w:ind w:left="1440"/>
              <w:rPr>
                <w:sz w:val="24"/>
                <w:szCs w:val="24"/>
              </w:rPr>
            </w:pPr>
            <w:r>
              <w:rPr>
                <w:sz w:val="24"/>
                <w:szCs w:val="24"/>
              </w:rPr>
              <w:t>For stocks assessed using a stock assessment model (i.e., data-rich stocks), reference points estimated in the same stock-assessment should be adopted.</w:t>
            </w:r>
          </w:p>
          <w:p w:rsidR="0072721E" w:rsidRDefault="007F04EE">
            <w:pPr>
              <w:numPr>
                <w:ilvl w:val="1"/>
                <w:numId w:val="47"/>
              </w:numPr>
              <w:tabs>
                <w:tab w:val="left" w:pos="0"/>
              </w:tabs>
              <w:spacing w:after="0"/>
              <w:ind w:left="1440"/>
              <w:rPr>
                <w:sz w:val="24"/>
                <w:szCs w:val="24"/>
              </w:rPr>
            </w:pPr>
            <w:r>
              <w:rPr>
                <w:sz w:val="24"/>
                <w:szCs w:val="24"/>
              </w:rPr>
              <w:t>For stock without a stock assessment (i.e., data-poor stocks), or when the results are not robust, risk-based RPs should be used.</w:t>
            </w:r>
          </w:p>
          <w:p w:rsidR="0072721E" w:rsidRDefault="007F04EE">
            <w:pPr>
              <w:numPr>
                <w:ilvl w:val="0"/>
                <w:numId w:val="47"/>
              </w:numPr>
              <w:tabs>
                <w:tab w:val="left" w:pos="0"/>
              </w:tabs>
              <w:spacing w:after="0"/>
              <w:ind w:left="1080" w:hanging="357"/>
              <w:rPr>
                <w:sz w:val="24"/>
                <w:szCs w:val="24"/>
              </w:rPr>
            </w:pPr>
            <w:r>
              <w:rPr>
                <w:sz w:val="24"/>
                <w:szCs w:val="24"/>
              </w:rPr>
              <w:t xml:space="preserve">SC17 noted that the data rich approach might not necessarily have lower uncertainty than the data poor approach. </w:t>
            </w:r>
          </w:p>
          <w:p w:rsidR="0072721E" w:rsidRDefault="007F04EE">
            <w:pPr>
              <w:numPr>
                <w:ilvl w:val="0"/>
                <w:numId w:val="47"/>
              </w:numPr>
              <w:tabs>
                <w:tab w:val="left" w:pos="0"/>
              </w:tabs>
              <w:spacing w:after="0"/>
              <w:ind w:left="1080" w:hanging="357"/>
              <w:rPr>
                <w:sz w:val="24"/>
                <w:szCs w:val="24"/>
              </w:rPr>
            </w:pPr>
            <w:r>
              <w:rPr>
                <w:sz w:val="24"/>
                <w:szCs w:val="24"/>
              </w:rPr>
              <w:t>While an LRP for WCPO elasmobranchs equivalent to B</w:t>
            </w:r>
            <w:r>
              <w:rPr>
                <w:sz w:val="24"/>
                <w:szCs w:val="24"/>
                <w:vertAlign w:val="subscript"/>
              </w:rPr>
              <w:t>lim</w:t>
            </w:r>
            <w:r>
              <w:rPr>
                <w:sz w:val="24"/>
                <w:szCs w:val="24"/>
              </w:rPr>
              <w:t>=0.25B</w:t>
            </w:r>
            <w:r>
              <w:rPr>
                <w:sz w:val="24"/>
                <w:szCs w:val="24"/>
                <w:vertAlign w:val="subscript"/>
              </w:rPr>
              <w:t>o</w:t>
            </w:r>
            <w:r>
              <w:rPr>
                <w:sz w:val="24"/>
                <w:szCs w:val="24"/>
              </w:rPr>
              <w:t xml:space="preserve"> (consistent with 20%SB</w:t>
            </w:r>
            <w:r>
              <w:rPr>
                <w:sz w:val="24"/>
                <w:szCs w:val="24"/>
                <w:vertAlign w:val="subscript"/>
              </w:rPr>
              <w:t>unfished</w:t>
            </w:r>
            <w:r>
              <w:rPr>
                <w:i/>
                <w:sz w:val="24"/>
                <w:szCs w:val="24"/>
              </w:rPr>
              <w:t xml:space="preserve"> </w:t>
            </w:r>
            <w:r>
              <w:rPr>
                <w:sz w:val="24"/>
                <w:szCs w:val="24"/>
              </w:rPr>
              <w:t>for target species) and the corresponding F</w:t>
            </w:r>
            <w:r>
              <w:rPr>
                <w:sz w:val="24"/>
                <w:szCs w:val="24"/>
                <w:vertAlign w:val="subscript"/>
              </w:rPr>
              <w:t>lim</w:t>
            </w:r>
            <w:r>
              <w:rPr>
                <w:sz w:val="24"/>
                <w:szCs w:val="24"/>
              </w:rPr>
              <w:t>=1.5F</w:t>
            </w:r>
            <w:r>
              <w:rPr>
                <w:sz w:val="24"/>
                <w:szCs w:val="24"/>
                <w:vertAlign w:val="subscript"/>
              </w:rPr>
              <w:t>MSY</w:t>
            </w:r>
            <w:r>
              <w:rPr>
                <w:i/>
                <w:sz w:val="24"/>
                <w:szCs w:val="24"/>
              </w:rPr>
              <w:t xml:space="preserve"> </w:t>
            </w:r>
            <w:r>
              <w:rPr>
                <w:sz w:val="24"/>
                <w:szCs w:val="24"/>
              </w:rPr>
              <w:t>was supported by a number of CCMs, several other CCMs did not support the use of this LRP, instead suggesting that a broader range of reference points should be appraised (such as outlined in Table 7 of SC17-MI-WP-08) to assess their applicability to WCPO elasmobranchs, and that these be considered under a broader banner of reference points for non-tuna species. However, there was some concern expressed that such a review of other metrics had already been undertaken by earlier reports (e.g., SC10-MI-WP-07).</w:t>
            </w:r>
          </w:p>
          <w:p w:rsidR="0072721E" w:rsidRDefault="007F04EE">
            <w:pPr>
              <w:numPr>
                <w:ilvl w:val="0"/>
                <w:numId w:val="47"/>
              </w:numPr>
              <w:tabs>
                <w:tab w:val="left" w:pos="0"/>
              </w:tabs>
              <w:spacing w:after="0"/>
              <w:ind w:left="1080" w:hanging="357"/>
              <w:rPr>
                <w:sz w:val="24"/>
                <w:szCs w:val="24"/>
              </w:rPr>
            </w:pPr>
            <w:r>
              <w:rPr>
                <w:sz w:val="24"/>
                <w:szCs w:val="24"/>
              </w:rPr>
              <w:t>The use of a constant percentage of SPR (spawning potential ratio) such as F</w:t>
            </w:r>
            <w:r>
              <w:rPr>
                <w:sz w:val="24"/>
                <w:szCs w:val="24"/>
                <w:vertAlign w:val="subscript"/>
              </w:rPr>
              <w:t>60%</w:t>
            </w:r>
            <w:r>
              <w:rPr>
                <w:sz w:val="24"/>
                <w:szCs w:val="24"/>
              </w:rPr>
              <w:t>SPR</w:t>
            </w:r>
            <w:r>
              <w:rPr>
                <w:i/>
                <w:sz w:val="24"/>
                <w:szCs w:val="24"/>
              </w:rPr>
              <w:t xml:space="preserve"> </w:t>
            </w:r>
            <w:r>
              <w:rPr>
                <w:sz w:val="24"/>
                <w:szCs w:val="24"/>
              </w:rPr>
              <w:t>(i.e., F that produces an SPR of 60% of unfished)</w:t>
            </w:r>
            <w:r>
              <w:rPr>
                <w:i/>
                <w:sz w:val="24"/>
                <w:szCs w:val="24"/>
              </w:rPr>
              <w:t xml:space="preserve"> </w:t>
            </w:r>
            <w:r>
              <w:rPr>
                <w:sz w:val="24"/>
                <w:szCs w:val="24"/>
              </w:rPr>
              <w:t>as a reference point for all stocks was not supported.</w:t>
            </w:r>
          </w:p>
          <w:p w:rsidR="0072721E" w:rsidRDefault="007F04EE">
            <w:pPr>
              <w:numPr>
                <w:ilvl w:val="0"/>
                <w:numId w:val="47"/>
              </w:numPr>
              <w:tabs>
                <w:tab w:val="left" w:pos="0"/>
              </w:tabs>
              <w:spacing w:after="0"/>
              <w:ind w:left="1080" w:hanging="357"/>
              <w:rPr>
                <w:sz w:val="24"/>
                <w:szCs w:val="24"/>
              </w:rPr>
            </w:pPr>
            <w:r>
              <w:rPr>
                <w:sz w:val="24"/>
                <w:szCs w:val="24"/>
              </w:rPr>
              <w:t>It was noted that continued fishing at or above F</w:t>
            </w:r>
            <w:r>
              <w:rPr>
                <w:sz w:val="24"/>
                <w:szCs w:val="24"/>
                <w:vertAlign w:val="subscript"/>
              </w:rPr>
              <w:t>crash</w:t>
            </w:r>
            <w:r>
              <w:rPr>
                <w:sz w:val="24"/>
                <w:szCs w:val="24"/>
              </w:rPr>
              <w:t xml:space="preserve"> would lead to stock collapse. In the long term, an LRP should constrain fishing mortality to below this level. </w:t>
            </w:r>
          </w:p>
          <w:p w:rsidR="0072721E" w:rsidRDefault="007F04EE">
            <w:pPr>
              <w:numPr>
                <w:ilvl w:val="0"/>
                <w:numId w:val="47"/>
              </w:numPr>
              <w:tabs>
                <w:tab w:val="left" w:pos="0"/>
              </w:tabs>
              <w:spacing w:after="0"/>
              <w:ind w:left="1080" w:hanging="357"/>
              <w:rPr>
                <w:sz w:val="24"/>
                <w:szCs w:val="24"/>
              </w:rPr>
            </w:pPr>
            <w:r>
              <w:rPr>
                <w:sz w:val="24"/>
                <w:szCs w:val="24"/>
              </w:rPr>
              <w:t>Finally, SC17 noted that it is important to continue research to provide or improve estimates of life-history parameters and gear selectivity to improve the determination of risk-based reference points.</w:t>
            </w:r>
          </w:p>
          <w:p w:rsidR="0072721E" w:rsidRDefault="007F04EE">
            <w:pPr>
              <w:numPr>
                <w:ilvl w:val="0"/>
                <w:numId w:val="47"/>
              </w:numPr>
              <w:tabs>
                <w:tab w:val="left" w:pos="0"/>
              </w:tabs>
              <w:spacing w:after="0"/>
              <w:ind w:left="1080" w:hanging="357"/>
              <w:rPr>
                <w:sz w:val="24"/>
                <w:szCs w:val="24"/>
              </w:rPr>
            </w:pPr>
            <w:r>
              <w:rPr>
                <w:sz w:val="24"/>
                <w:szCs w:val="24"/>
              </w:rPr>
              <w:t xml:space="preserve">SC17 noted that a management strategy evaluation approach could be helpful in determining what LRPs would work best when there is uncertainty in the input </w:t>
            </w:r>
            <w:r>
              <w:rPr>
                <w:color w:val="222222"/>
                <w:sz w:val="24"/>
                <w:szCs w:val="24"/>
              </w:rPr>
              <w:t>assessment data, population dynamics, model structure and other dynamic features of the WCPO fishery system.</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 xml:space="preserve">SC17 agreed that Project 103, and the other projects that had preceded it, had provided a good framework for progressing the development and identification of appropriate LRP for WCPO elasmobranchs. However, SC17 expressed disappointment that after such lengthy consideration that the SC was at this time unable to make a final recommendation on appropriate LRPs to the Commission.  </w:t>
            </w:r>
          </w:p>
          <w:p w:rsidR="0072721E" w:rsidRDefault="0072721E">
            <w:pPr>
              <w:spacing w:after="0"/>
              <w:ind w:left="0"/>
              <w:rPr>
                <w:sz w:val="24"/>
                <w:szCs w:val="24"/>
              </w:rPr>
            </w:pPr>
          </w:p>
          <w:p w:rsidR="0072721E" w:rsidRDefault="007F04EE">
            <w:pPr>
              <w:widowControl w:val="0"/>
              <w:numPr>
                <w:ilvl w:val="0"/>
                <w:numId w:val="50"/>
              </w:numPr>
              <w:spacing w:after="0"/>
              <w:ind w:left="0"/>
              <w:jc w:val="left"/>
            </w:pPr>
            <w:r>
              <w:rPr>
                <w:sz w:val="24"/>
                <w:szCs w:val="24"/>
              </w:rPr>
              <w:t>SC17 recommended that the Commission take note of the work and recommendations outlined in SC17-MI-WP-07 together with the conclusions reached by SC17 and the need for further work as noted above.</w:t>
            </w: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ind w:left="0"/>
              <w:jc w:val="left"/>
              <w:rPr>
                <w:b/>
                <w:i/>
                <w:sz w:val="24"/>
                <w:szCs w:val="24"/>
              </w:rPr>
            </w:pPr>
            <w:r>
              <w:rPr>
                <w:b/>
                <w:i/>
                <w:sz w:val="24"/>
                <w:szCs w:val="24"/>
              </w:rPr>
              <w:t xml:space="preserve">3.2.2 Review of appropriate LRPs for Southwest Pacific striped marlin and other billfish (Project 104) </w:t>
            </w:r>
          </w:p>
          <w:p w:rsidR="0072721E" w:rsidRDefault="0072721E">
            <w:pPr>
              <w:spacing w:after="0"/>
              <w:ind w:left="0"/>
              <w:rPr>
                <w:sz w:val="24"/>
                <w:szCs w:val="24"/>
              </w:rPr>
            </w:pPr>
          </w:p>
          <w:p w:rsidR="0072721E" w:rsidRDefault="007F04EE">
            <w:pPr>
              <w:spacing w:after="0"/>
              <w:ind w:left="0"/>
              <w:jc w:val="left"/>
              <w:rPr>
                <w:sz w:val="24"/>
                <w:szCs w:val="24"/>
              </w:rPr>
            </w:pPr>
            <w:r>
              <w:rPr>
                <w:sz w:val="24"/>
                <w:szCs w:val="24"/>
              </w:rPr>
              <w:t>Recommendations</w:t>
            </w:r>
          </w:p>
          <w:p w:rsidR="0072721E" w:rsidRDefault="0072721E">
            <w:pPr>
              <w:spacing w:after="0"/>
              <w:ind w:left="0"/>
              <w:jc w:val="left"/>
              <w:rPr>
                <w:sz w:val="24"/>
                <w:szCs w:val="24"/>
              </w:rPr>
            </w:pPr>
          </w:p>
          <w:p w:rsidR="0072721E" w:rsidRDefault="007F04EE">
            <w:pPr>
              <w:numPr>
                <w:ilvl w:val="0"/>
                <w:numId w:val="50"/>
              </w:numPr>
              <w:spacing w:after="0"/>
              <w:ind w:left="0"/>
            </w:pPr>
            <w:r>
              <w:rPr>
                <w:sz w:val="24"/>
                <w:szCs w:val="24"/>
              </w:rPr>
              <w:t xml:space="preserve">Noting </w:t>
            </w:r>
            <w:r>
              <w:rPr>
                <w:color w:val="222222"/>
                <w:sz w:val="24"/>
                <w:szCs w:val="24"/>
              </w:rPr>
              <w:t>the</w:t>
            </w:r>
            <w:r>
              <w:rPr>
                <w:sz w:val="24"/>
                <w:szCs w:val="24"/>
              </w:rPr>
              <w:t xml:space="preserve"> agreed outcome from WCPFC16 to revisit the identification of an appropriate limit reference point for South Pacific Striped marlin, SC17 reviewed the outcomes of Project 104 outlined in SC17-MI-WP-08 (</w:t>
            </w:r>
            <w:r>
              <w:rPr>
                <w:i/>
                <w:sz w:val="24"/>
                <w:szCs w:val="24"/>
              </w:rPr>
              <w:t>Appropriate LRPs for Southwest Pacific Ocean Striped Marlin and Other Billfish</w:t>
            </w:r>
            <w:r>
              <w:rPr>
                <w:sz w:val="24"/>
                <w:szCs w:val="24"/>
              </w:rPr>
              <w:t>)</w:t>
            </w:r>
            <w:r>
              <w:rPr>
                <w:i/>
                <w:sz w:val="24"/>
                <w:szCs w:val="24"/>
              </w:rPr>
              <w:t>.</w:t>
            </w:r>
            <w:r>
              <w:rPr>
                <w:sz w:val="24"/>
                <w:szCs w:val="24"/>
              </w:rPr>
              <w:t xml:space="preserve"> </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noted the comprehensive scope of the project report and discussed the nine recommendations made in SC17-MI-WP-08 and while broadly supporting these recommendations conveys the following conclusions to the Commission:</w:t>
            </w:r>
          </w:p>
          <w:p w:rsidR="0072721E" w:rsidRDefault="007F04EE">
            <w:pPr>
              <w:numPr>
                <w:ilvl w:val="0"/>
                <w:numId w:val="27"/>
              </w:numPr>
              <w:spacing w:after="0"/>
              <w:ind w:left="1134" w:hanging="425"/>
              <w:rPr>
                <w:sz w:val="24"/>
                <w:szCs w:val="24"/>
              </w:rPr>
            </w:pPr>
            <w:r>
              <w:rPr>
                <w:sz w:val="24"/>
                <w:szCs w:val="24"/>
              </w:rPr>
              <w:t xml:space="preserve">The WCPFC should develop interim objectives for </w:t>
            </w:r>
            <w:r>
              <w:rPr>
                <w:color w:val="222222"/>
                <w:sz w:val="24"/>
                <w:szCs w:val="24"/>
              </w:rPr>
              <w:t>Southwest Pacific</w:t>
            </w:r>
            <w:r>
              <w:rPr>
                <w:sz w:val="24"/>
                <w:szCs w:val="24"/>
              </w:rPr>
              <w:t xml:space="preserve"> striped marlin to guide the appropriate levels for any agreed LRP and the associated maximum risk levels for breaching this LRP. </w:t>
            </w:r>
          </w:p>
          <w:p w:rsidR="0072721E" w:rsidRDefault="007F04EE">
            <w:pPr>
              <w:numPr>
                <w:ilvl w:val="0"/>
                <w:numId w:val="27"/>
              </w:numPr>
              <w:spacing w:after="0"/>
              <w:ind w:left="1134" w:hanging="425"/>
              <w:rPr>
                <w:sz w:val="24"/>
                <w:szCs w:val="24"/>
              </w:rPr>
            </w:pPr>
            <w:r>
              <w:rPr>
                <w:sz w:val="24"/>
                <w:szCs w:val="24"/>
              </w:rPr>
              <w:t>While an LRP equivalent to 20% SB/SB</w:t>
            </w:r>
            <w:r>
              <w:rPr>
                <w:sz w:val="24"/>
                <w:szCs w:val="24"/>
                <w:vertAlign w:val="subscript"/>
              </w:rPr>
              <w:t>F=0</w:t>
            </w:r>
            <w:r>
              <w:rPr>
                <w:sz w:val="24"/>
                <w:szCs w:val="24"/>
              </w:rPr>
              <w:t xml:space="preserve"> for </w:t>
            </w:r>
            <w:r>
              <w:rPr>
                <w:color w:val="222222"/>
                <w:sz w:val="24"/>
                <w:szCs w:val="24"/>
              </w:rPr>
              <w:t>Southwest Pacific</w:t>
            </w:r>
            <w:r>
              <w:rPr>
                <w:sz w:val="24"/>
                <w:szCs w:val="24"/>
              </w:rPr>
              <w:t xml:space="preserve"> striped marlin was supported by several CCMs (consistent with the logic behind the application to key tuna stocks), several other CCMs pointed out that the life-history of billfish are substantially different to key tuna species and therefore did not support this LRP. Several CCMs also noted that in adopting the tuna LRPs, in their view the Commission took into account factors such as the risk of greater fluctuations in recruitment and smaller fish sizes and values as biomass declined, and these factors may not be as applicable to setting LRPs for billfish.</w:t>
            </w:r>
          </w:p>
          <w:p w:rsidR="0072721E" w:rsidRDefault="007F04EE">
            <w:pPr>
              <w:numPr>
                <w:ilvl w:val="0"/>
                <w:numId w:val="27"/>
              </w:numPr>
              <w:spacing w:after="0"/>
              <w:ind w:left="1134" w:hanging="425"/>
              <w:rPr>
                <w:sz w:val="24"/>
                <w:szCs w:val="24"/>
              </w:rPr>
            </w:pPr>
            <w:r>
              <w:rPr>
                <w:sz w:val="24"/>
                <w:szCs w:val="24"/>
              </w:rPr>
              <w:t>Several CCMs supported the development of billfish LRPs based on MSY criteria with appropriate risk choices.</w:t>
            </w:r>
          </w:p>
          <w:p w:rsidR="0072721E" w:rsidRDefault="007F04EE">
            <w:pPr>
              <w:numPr>
                <w:ilvl w:val="0"/>
                <w:numId w:val="27"/>
              </w:numPr>
              <w:spacing w:after="0"/>
              <w:ind w:left="1134" w:hanging="425"/>
              <w:rPr>
                <w:sz w:val="24"/>
                <w:szCs w:val="24"/>
              </w:rPr>
            </w:pPr>
            <w:r>
              <w:rPr>
                <w:sz w:val="24"/>
                <w:szCs w:val="24"/>
              </w:rPr>
              <w:t>For WCPO billfish species the identification of appropriate LRPs should be guided by developing management objectives for different species divided into the following groups: target species (swordfish); data-rich bycatch species (striped and blue marlin); medium information bycatch species with levels of catch (black marlin); and data-poor low-catch bycatch species (shortbilled spearfish and sailfish). Having agreed objectives would help clarify which approach to use and inform selection of the acceptable risk of breaching the LRP.</w:t>
            </w:r>
          </w:p>
          <w:p w:rsidR="0072721E" w:rsidRDefault="007F04EE">
            <w:pPr>
              <w:numPr>
                <w:ilvl w:val="0"/>
                <w:numId w:val="27"/>
              </w:numPr>
              <w:spacing w:after="0"/>
              <w:ind w:left="1134" w:hanging="425"/>
              <w:rPr>
                <w:sz w:val="24"/>
                <w:szCs w:val="24"/>
              </w:rPr>
            </w:pPr>
            <w:r>
              <w:rPr>
                <w:sz w:val="24"/>
                <w:szCs w:val="24"/>
              </w:rPr>
              <w:t>Each billfish species should initially be assessed against the potential LRPs listed in Table MI-1. The SC should also work towards developing a minimum list of metrics that should appear in any future billfish assessment reports and a preferred metric for each WCPO billfish stock. For example, several CCMs suggested the addition of F</w:t>
            </w:r>
            <w:r>
              <w:rPr>
                <w:sz w:val="24"/>
                <w:szCs w:val="24"/>
                <w:vertAlign w:val="subscript"/>
              </w:rPr>
              <w:t>MSY</w:t>
            </w:r>
            <w:r>
              <w:rPr>
                <w:sz w:val="24"/>
                <w:szCs w:val="24"/>
              </w:rPr>
              <w:t xml:space="preserve"> and SB</w:t>
            </w:r>
            <w:r>
              <w:rPr>
                <w:sz w:val="24"/>
                <w:szCs w:val="24"/>
                <w:vertAlign w:val="subscript"/>
              </w:rPr>
              <w:t>MSY</w:t>
            </w:r>
            <w:r>
              <w:rPr>
                <w:sz w:val="24"/>
                <w:szCs w:val="24"/>
              </w:rPr>
              <w:t>-related values, as it is related to the spirit of the Convention in their view and is the reference point used by other RFMOs for billfish species. In the interim SC agreed to retain Table MI-1 as an interim list of candidate LRPs for billfish.</w:t>
            </w:r>
          </w:p>
          <w:p w:rsidR="0072721E" w:rsidRDefault="007F04EE">
            <w:pPr>
              <w:numPr>
                <w:ilvl w:val="0"/>
                <w:numId w:val="27"/>
              </w:numPr>
              <w:spacing w:after="0"/>
              <w:ind w:left="1134" w:hanging="425"/>
              <w:rPr>
                <w:sz w:val="24"/>
                <w:szCs w:val="24"/>
              </w:rPr>
            </w:pPr>
            <w:r>
              <w:rPr>
                <w:sz w:val="24"/>
                <w:szCs w:val="24"/>
              </w:rPr>
              <w:t>The applicability of LRPs should be evaluated, whenever possible, at the stock level. Some CCMs noted that for some species, like the south Pacific swordfish, the adopted LRP for tropical tuna species (20%SB</w:t>
            </w:r>
            <w:r>
              <w:rPr>
                <w:sz w:val="24"/>
                <w:szCs w:val="24"/>
                <w:vertAlign w:val="subscript"/>
              </w:rPr>
              <w:t>F=0</w:t>
            </w:r>
            <w:r>
              <w:rPr>
                <w:sz w:val="24"/>
                <w:szCs w:val="24"/>
              </w:rPr>
              <w:t>) is significantly above SB</w:t>
            </w:r>
            <w:r>
              <w:rPr>
                <w:sz w:val="24"/>
                <w:szCs w:val="24"/>
                <w:vertAlign w:val="subscript"/>
              </w:rPr>
              <w:t>MSY.</w:t>
            </w:r>
          </w:p>
          <w:p w:rsidR="0072721E" w:rsidRDefault="007F04EE">
            <w:pPr>
              <w:numPr>
                <w:ilvl w:val="0"/>
                <w:numId w:val="27"/>
              </w:numPr>
              <w:spacing w:after="0"/>
              <w:ind w:left="1134" w:hanging="425"/>
              <w:rPr>
                <w:sz w:val="24"/>
                <w:szCs w:val="24"/>
              </w:rPr>
            </w:pPr>
            <w:r>
              <w:rPr>
                <w:sz w:val="24"/>
                <w:szCs w:val="24"/>
              </w:rPr>
              <w:t>There was support for the proposed additions to the hierarchical approach, originally endorsed by WCPFC8 for key target species and SC10 for elasmobranchs, to cater for empirical and risk-based reference points of medium and low data stocks. The updated table is presented in Table MI-2.</w:t>
            </w:r>
          </w:p>
          <w:p w:rsidR="0072721E" w:rsidRDefault="007F04EE">
            <w:pPr>
              <w:numPr>
                <w:ilvl w:val="0"/>
                <w:numId w:val="27"/>
              </w:numPr>
              <w:spacing w:after="0"/>
              <w:ind w:left="1134" w:hanging="425"/>
              <w:rPr>
                <w:sz w:val="24"/>
                <w:szCs w:val="24"/>
              </w:rPr>
            </w:pPr>
            <w:r>
              <w:rPr>
                <w:sz w:val="24"/>
                <w:szCs w:val="24"/>
              </w:rPr>
              <w:t>These decisions should be incorporated into the Billfish Research Plan that is scheduled to be developed in 2022 and focus on developing objectives, assessing LRPs for each species, and determining if a pathway to a higher level of information and knowledge should be developed. This Plan should also consider a request that the SSP compile a table based on existing assessments of billfish and sharks that shows SB</w:t>
            </w:r>
            <w:r>
              <w:rPr>
                <w:sz w:val="24"/>
                <w:szCs w:val="24"/>
                <w:vertAlign w:val="subscript"/>
              </w:rPr>
              <w:t>MSY</w:t>
            </w:r>
            <w:r>
              <w:rPr>
                <w:sz w:val="24"/>
                <w:szCs w:val="24"/>
              </w:rPr>
              <w:t>, SB</w:t>
            </w:r>
            <w:r>
              <w:rPr>
                <w:sz w:val="24"/>
                <w:szCs w:val="24"/>
                <w:vertAlign w:val="subscript"/>
              </w:rPr>
              <w:t>0</w:t>
            </w:r>
            <w:r>
              <w:rPr>
                <w:sz w:val="24"/>
                <w:szCs w:val="24"/>
              </w:rPr>
              <w:t xml:space="preserve"> and SB</w:t>
            </w:r>
            <w:r>
              <w:rPr>
                <w:sz w:val="24"/>
                <w:szCs w:val="24"/>
                <w:vertAlign w:val="subscript"/>
              </w:rPr>
              <w:t xml:space="preserve">F=0 </w:t>
            </w:r>
            <w:r>
              <w:rPr>
                <w:sz w:val="24"/>
                <w:szCs w:val="24"/>
              </w:rPr>
              <w:t>levels and the percentage of SB</w:t>
            </w:r>
            <w:r>
              <w:rPr>
                <w:sz w:val="24"/>
                <w:szCs w:val="24"/>
                <w:vertAlign w:val="subscript"/>
              </w:rPr>
              <w:t>MSY</w:t>
            </w:r>
            <w:r>
              <w:rPr>
                <w:sz w:val="24"/>
                <w:szCs w:val="24"/>
              </w:rPr>
              <w:t xml:space="preserve"> relative to the other two metrics, with associated uncertainty. </w:t>
            </w:r>
          </w:p>
          <w:p w:rsidR="0072721E" w:rsidRDefault="007F04EE">
            <w:pPr>
              <w:numPr>
                <w:ilvl w:val="0"/>
                <w:numId w:val="27"/>
              </w:numPr>
              <w:spacing w:after="0"/>
              <w:ind w:left="1134" w:hanging="425"/>
              <w:rPr>
                <w:sz w:val="24"/>
                <w:szCs w:val="24"/>
              </w:rPr>
            </w:pPr>
            <w:r>
              <w:rPr>
                <w:sz w:val="24"/>
                <w:szCs w:val="24"/>
              </w:rPr>
              <w:t>The risk-based fishing mortality benchmarks should be defined as dependent variables in the two main assessment platforms used (Stock Synthesis and MFCL) so that statistical uncertainty of the estimates can be calculated.</w:t>
            </w:r>
          </w:p>
          <w:p w:rsidR="0072721E" w:rsidRDefault="0072721E">
            <w:pPr>
              <w:spacing w:after="0"/>
              <w:ind w:left="1134"/>
              <w:rPr>
                <w:sz w:val="24"/>
                <w:szCs w:val="24"/>
              </w:rPr>
            </w:pPr>
          </w:p>
          <w:p w:rsidR="0072721E" w:rsidRDefault="007F04EE">
            <w:pPr>
              <w:numPr>
                <w:ilvl w:val="0"/>
                <w:numId w:val="50"/>
              </w:numPr>
              <w:spacing w:after="0"/>
              <w:ind w:left="0"/>
            </w:pPr>
            <w:r>
              <w:rPr>
                <w:sz w:val="24"/>
                <w:szCs w:val="24"/>
              </w:rPr>
              <w:t xml:space="preserve">SC17 agreed </w:t>
            </w:r>
            <w:r>
              <w:rPr>
                <w:color w:val="222222"/>
                <w:sz w:val="24"/>
                <w:szCs w:val="24"/>
              </w:rPr>
              <w:t>that</w:t>
            </w:r>
            <w:r>
              <w:rPr>
                <w:sz w:val="24"/>
                <w:szCs w:val="24"/>
              </w:rPr>
              <w:t xml:space="preserve"> Project 104 had developed a good framework for progressing the development and identification of </w:t>
            </w:r>
            <w:r>
              <w:rPr>
                <w:color w:val="222222"/>
                <w:sz w:val="24"/>
                <w:szCs w:val="24"/>
              </w:rPr>
              <w:t>appropriate</w:t>
            </w:r>
            <w:r>
              <w:rPr>
                <w:sz w:val="24"/>
                <w:szCs w:val="24"/>
              </w:rPr>
              <w:t xml:space="preserve"> LRP for WCPO billfish and recommended that the Commission take note of the above conclusions reached by SC17 and the need for further work as outlined above.</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rPr>
          <w:trHeight w:val="480"/>
        </w:trPr>
        <w:tc>
          <w:tcPr>
            <w:tcW w:w="9600" w:type="dxa"/>
            <w:gridSpan w:val="2"/>
            <w:shd w:val="clear" w:color="auto" w:fill="auto"/>
            <w:tcMar>
              <w:top w:w="100" w:type="dxa"/>
              <w:left w:w="100" w:type="dxa"/>
              <w:bottom w:w="100" w:type="dxa"/>
              <w:right w:w="100" w:type="dxa"/>
            </w:tcMar>
          </w:tcPr>
          <w:p w:rsidR="0072721E" w:rsidRDefault="007F04EE">
            <w:pPr>
              <w:widowControl w:val="0"/>
              <w:spacing w:after="0"/>
              <w:ind w:left="0"/>
              <w:jc w:val="left"/>
              <w:rPr>
                <w:b/>
                <w:sz w:val="30"/>
                <w:szCs w:val="30"/>
              </w:rPr>
            </w:pPr>
            <w:r>
              <w:rPr>
                <w:b/>
                <w:sz w:val="26"/>
                <w:szCs w:val="26"/>
              </w:rPr>
              <w:t xml:space="preserve">AGENDA ITEM 5 — ECOSYSTEM AND BYCATCH MITIGATION THEME </w:t>
            </w:r>
          </w:p>
        </w:tc>
      </w:tr>
      <w:tr w:rsidR="0072721E">
        <w:tc>
          <w:tcPr>
            <w:tcW w:w="6780" w:type="dxa"/>
            <w:shd w:val="clear" w:color="auto" w:fill="auto"/>
            <w:tcMar>
              <w:top w:w="100" w:type="dxa"/>
              <w:left w:w="100" w:type="dxa"/>
              <w:bottom w:w="100" w:type="dxa"/>
              <w:right w:w="100" w:type="dxa"/>
            </w:tcMar>
          </w:tcPr>
          <w:p w:rsidR="0072721E" w:rsidRDefault="007F04EE">
            <w:pPr>
              <w:keepNext/>
              <w:spacing w:after="0"/>
              <w:ind w:left="480"/>
              <w:rPr>
                <w:b/>
                <w:i/>
                <w:sz w:val="24"/>
                <w:szCs w:val="24"/>
              </w:rPr>
            </w:pPr>
            <w:r>
              <w:rPr>
                <w:b/>
                <w:i/>
                <w:sz w:val="24"/>
                <w:szCs w:val="24"/>
              </w:rPr>
              <w:t>5.1 Review of potential mitigation measures to reduce fishing-related mortality on silky and oceanic whitetip sharks (Project 101)</w:t>
            </w:r>
          </w:p>
          <w:p w:rsidR="0072721E" w:rsidRDefault="0072721E">
            <w:pPr>
              <w:spacing w:after="0"/>
              <w:ind w:left="0"/>
              <w:rPr>
                <w:sz w:val="24"/>
                <w:szCs w:val="24"/>
              </w:rPr>
            </w:pPr>
          </w:p>
          <w:p w:rsidR="0072721E" w:rsidRDefault="007F04EE">
            <w:pPr>
              <w:spacing w:after="0"/>
              <w:ind w:left="0"/>
              <w:rPr>
                <w:sz w:val="24"/>
                <w:szCs w:val="24"/>
              </w:rPr>
            </w:pPr>
            <w:r>
              <w:rPr>
                <w:sz w:val="24"/>
                <w:szCs w:val="24"/>
              </w:rPr>
              <w:t>Recommendations</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recommends that the Project 101 be continued with the following modifications:</w:t>
            </w:r>
          </w:p>
          <w:p w:rsidR="0072721E" w:rsidRDefault="007F04EE">
            <w:pPr>
              <w:widowControl w:val="0"/>
              <w:numPr>
                <w:ilvl w:val="1"/>
                <w:numId w:val="41"/>
              </w:numPr>
              <w:spacing w:after="0"/>
              <w:ind w:left="1080"/>
              <w:rPr>
                <w:sz w:val="24"/>
                <w:szCs w:val="24"/>
              </w:rPr>
            </w:pPr>
            <w:r>
              <w:rPr>
                <w:sz w:val="24"/>
                <w:szCs w:val="24"/>
              </w:rPr>
              <w:t>Relevant CCMs should consider authorizing the release of their non-ROP longline data (facilitated through SPC) for this study, specifically to provide more complete gear configurations by flag, or collaborating to conduct such an analysis for their flagged vessels, and allow analyses similar to Caneco et al. (2014)</w:t>
            </w:r>
            <w:r>
              <w:rPr>
                <w:sz w:val="24"/>
                <w:szCs w:val="24"/>
                <w:vertAlign w:val="superscript"/>
              </w:rPr>
              <w:footnoteReference w:id="1"/>
            </w:r>
            <w:r>
              <w:rPr>
                <w:sz w:val="24"/>
                <w:szCs w:val="24"/>
              </w:rPr>
              <w:t xml:space="preserve"> to estimate factors affecting shark catchability and condition on longline retrieval to be conducted using a more complete dataset;</w:t>
            </w:r>
          </w:p>
          <w:p w:rsidR="0072721E" w:rsidRDefault="007F04EE">
            <w:pPr>
              <w:widowControl w:val="0"/>
              <w:numPr>
                <w:ilvl w:val="1"/>
                <w:numId w:val="41"/>
              </w:numPr>
              <w:spacing w:after="0"/>
              <w:ind w:left="1080"/>
              <w:rPr>
                <w:sz w:val="24"/>
                <w:szCs w:val="24"/>
              </w:rPr>
            </w:pPr>
            <w:r>
              <w:rPr>
                <w:sz w:val="24"/>
                <w:szCs w:val="24"/>
              </w:rPr>
              <w:t>Conduct the Monte Carlo analyses with inputs on catchability, condition on longline retrieval and gear configurations by flag;</w:t>
            </w:r>
          </w:p>
          <w:p w:rsidR="0072721E" w:rsidRDefault="007F04EE">
            <w:pPr>
              <w:widowControl w:val="0"/>
              <w:numPr>
                <w:ilvl w:val="1"/>
                <w:numId w:val="41"/>
              </w:numPr>
              <w:spacing w:after="0"/>
              <w:ind w:left="1080"/>
              <w:rPr>
                <w:sz w:val="24"/>
                <w:szCs w:val="24"/>
              </w:rPr>
            </w:pPr>
            <w:r>
              <w:rPr>
                <w:sz w:val="24"/>
                <w:szCs w:val="24"/>
              </w:rPr>
              <w:t>Conduct updated projections with inputs on the impact of banning shark lines and wire leaders or both and estimates of the probability of post release mortalities of silky and oceanic whitetip sharks (as based on Hutchinson et al. 2021 or other new information);</w:t>
            </w:r>
          </w:p>
          <w:p w:rsidR="0072721E" w:rsidRDefault="007F04EE">
            <w:pPr>
              <w:spacing w:after="0"/>
              <w:ind w:left="420"/>
              <w:rPr>
                <w:sz w:val="24"/>
                <w:szCs w:val="24"/>
              </w:rPr>
            </w:pPr>
            <w:r>
              <w:rPr>
                <w:sz w:val="24"/>
                <w:szCs w:val="24"/>
              </w:rPr>
              <w:t>Additionally, results of the analyses should be shared to CCMs that made contributions to those analyses for their review and comments in advance of SC18.</w:t>
            </w:r>
          </w:p>
          <w:p w:rsidR="0072721E" w:rsidRDefault="0072721E">
            <w:pPr>
              <w:spacing w:after="0"/>
              <w:ind w:left="420"/>
              <w:rPr>
                <w:sz w:val="24"/>
                <w:szCs w:val="24"/>
              </w:rPr>
            </w:pPr>
          </w:p>
          <w:p w:rsidR="0072721E" w:rsidRDefault="007F04EE">
            <w:pPr>
              <w:numPr>
                <w:ilvl w:val="0"/>
                <w:numId w:val="50"/>
              </w:numPr>
              <w:spacing w:after="0"/>
              <w:ind w:left="0"/>
            </w:pPr>
            <w:r>
              <w:rPr>
                <w:sz w:val="24"/>
                <w:szCs w:val="24"/>
              </w:rPr>
              <w:t>SC17 also noted the result contained in SC17-EB-WP-01 and recommends that the Commission to be alerted to them, including:</w:t>
            </w:r>
          </w:p>
          <w:p w:rsidR="0072721E" w:rsidRDefault="007F04EE">
            <w:pPr>
              <w:widowControl w:val="0"/>
              <w:numPr>
                <w:ilvl w:val="1"/>
                <w:numId w:val="41"/>
              </w:numPr>
              <w:spacing w:after="0"/>
              <w:ind w:left="1080"/>
              <w:rPr>
                <w:sz w:val="24"/>
                <w:szCs w:val="24"/>
              </w:rPr>
            </w:pPr>
            <w:r>
              <w:rPr>
                <w:sz w:val="24"/>
                <w:szCs w:val="24"/>
              </w:rPr>
              <w:t xml:space="preserve">Banning shark lines has the potential to reduce fishing mortality by 2.6% and 5.4% for silky shark and oceanic whitetip shark, respectively. These percentages are lower than predicted estimates from Harley et al. (2015) which may be explained by a decrease in use of shark lines in more recent observer data; and </w:t>
            </w:r>
          </w:p>
          <w:p w:rsidR="0072721E" w:rsidRDefault="007F04EE">
            <w:pPr>
              <w:widowControl w:val="0"/>
              <w:numPr>
                <w:ilvl w:val="1"/>
                <w:numId w:val="41"/>
              </w:numPr>
              <w:spacing w:after="0"/>
              <w:ind w:left="1080"/>
              <w:rPr>
                <w:sz w:val="24"/>
                <w:szCs w:val="24"/>
              </w:rPr>
            </w:pPr>
            <w:r>
              <w:rPr>
                <w:sz w:val="24"/>
                <w:szCs w:val="24"/>
              </w:rPr>
              <w:t xml:space="preserve">Banning branchline wire leaders has the potential to reduce fishing mortality by 28.2% and 35.8% for silky shark and oceanic whitetip shark, respectively. These percentages are higher than estimates from Harley et al. (2015) and are due to a better representation of wire leader use in distant water fisheries. </w:t>
            </w:r>
          </w:p>
          <w:p w:rsidR="0072721E" w:rsidRDefault="0072721E">
            <w:pPr>
              <w:widowControl w:val="0"/>
              <w:spacing w:after="0"/>
              <w:ind w:left="780"/>
              <w:rPr>
                <w:strike/>
                <w:sz w:val="24"/>
                <w:szCs w:val="24"/>
              </w:rPr>
            </w:pPr>
          </w:p>
          <w:p w:rsidR="0072721E" w:rsidRDefault="007F04EE">
            <w:pPr>
              <w:numPr>
                <w:ilvl w:val="0"/>
                <w:numId w:val="50"/>
              </w:numPr>
              <w:spacing w:after="0"/>
              <w:ind w:left="0"/>
            </w:pPr>
            <w:r>
              <w:rPr>
                <w:sz w:val="24"/>
                <w:szCs w:val="24"/>
              </w:rPr>
              <w:t xml:space="preserve">Shark conservation and management measure (CMM 2019-04 paragraph 14) contains the option to either ban the carrying and use of wire leaders as branchlines or ban the use of branchlines directly off the longline floats or drop lines, known as shark lines, is currently in effect in many CCMs. </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keepNext/>
              <w:spacing w:after="0"/>
              <w:ind w:left="480"/>
              <w:rPr>
                <w:b/>
                <w:i/>
                <w:sz w:val="24"/>
                <w:szCs w:val="24"/>
              </w:rPr>
            </w:pPr>
            <w:r>
              <w:rPr>
                <w:b/>
                <w:i/>
                <w:sz w:val="24"/>
                <w:szCs w:val="24"/>
              </w:rPr>
              <w:t>5.2 Best handling practices for the release of cetaceans</w:t>
            </w:r>
          </w:p>
          <w:p w:rsidR="0072721E" w:rsidRDefault="0072721E">
            <w:pPr>
              <w:spacing w:after="0"/>
              <w:ind w:left="0"/>
              <w:rPr>
                <w:sz w:val="24"/>
                <w:szCs w:val="24"/>
              </w:rPr>
            </w:pPr>
          </w:p>
          <w:p w:rsidR="0072721E" w:rsidRDefault="007F04EE">
            <w:pPr>
              <w:spacing w:after="0"/>
              <w:ind w:left="0"/>
              <w:rPr>
                <w:sz w:val="24"/>
                <w:szCs w:val="24"/>
              </w:rPr>
            </w:pPr>
            <w:r>
              <w:rPr>
                <w:sz w:val="24"/>
                <w:szCs w:val="24"/>
              </w:rPr>
              <w:t xml:space="preserve">Recommendations   </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 xml:space="preserve">SC17 recommends the </w:t>
            </w:r>
            <w:r>
              <w:rPr>
                <w:i/>
                <w:sz w:val="24"/>
                <w:szCs w:val="24"/>
              </w:rPr>
              <w:t>Draft Best Handling Practices for the Safe Handling and Release of Cetaceans</w:t>
            </w:r>
            <w:r>
              <w:rPr>
                <w:sz w:val="24"/>
                <w:szCs w:val="24"/>
              </w:rPr>
              <w:t xml:space="preserve"> be forwarded to TCC17 and WCPFC18 for consideration.</w:t>
            </w:r>
          </w:p>
          <w:p w:rsidR="0072721E" w:rsidRDefault="0072721E">
            <w:pPr>
              <w:spacing w:after="0"/>
              <w:ind w:left="720"/>
              <w:rPr>
                <w:sz w:val="24"/>
                <w:szCs w:val="24"/>
              </w:rPr>
            </w:pPr>
          </w:p>
          <w:p w:rsidR="0072721E" w:rsidRDefault="007F04EE">
            <w:pPr>
              <w:widowControl w:val="0"/>
              <w:numPr>
                <w:ilvl w:val="0"/>
                <w:numId w:val="50"/>
              </w:numPr>
              <w:spacing w:after="0"/>
              <w:ind w:left="0"/>
              <w:jc w:val="left"/>
            </w:pPr>
            <w:r>
              <w:rPr>
                <w:sz w:val="24"/>
                <w:szCs w:val="24"/>
              </w:rPr>
              <w:t xml:space="preserve">SC17 further recommends that the Commission develop graphics to be included with the </w:t>
            </w:r>
            <w:r>
              <w:rPr>
                <w:i/>
                <w:sz w:val="24"/>
                <w:szCs w:val="24"/>
              </w:rPr>
              <w:t>Best Handling Practices for the Safe Handling and Release of Cetaceans</w:t>
            </w:r>
            <w:r>
              <w:rPr>
                <w:sz w:val="24"/>
                <w:szCs w:val="24"/>
              </w:rPr>
              <w:t xml:space="preserve"> for consideration at WCPFC19</w:t>
            </w: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tc>
      </w:tr>
      <w:tr w:rsidR="0072721E">
        <w:tc>
          <w:tcPr>
            <w:tcW w:w="6780" w:type="dxa"/>
            <w:shd w:val="clear" w:color="auto" w:fill="auto"/>
            <w:tcMar>
              <w:top w:w="100" w:type="dxa"/>
              <w:left w:w="100" w:type="dxa"/>
              <w:bottom w:w="100" w:type="dxa"/>
              <w:right w:w="100" w:type="dxa"/>
            </w:tcMar>
          </w:tcPr>
          <w:p w:rsidR="0072721E" w:rsidRDefault="007F04EE">
            <w:pPr>
              <w:keepNext/>
              <w:spacing w:after="0"/>
              <w:ind w:left="0"/>
              <w:rPr>
                <w:b/>
                <w:i/>
                <w:sz w:val="24"/>
                <w:szCs w:val="24"/>
              </w:rPr>
            </w:pPr>
            <w:r>
              <w:rPr>
                <w:b/>
                <w:i/>
                <w:sz w:val="24"/>
                <w:szCs w:val="24"/>
              </w:rPr>
              <w:t xml:space="preserve">5.3 Other issues </w:t>
            </w:r>
          </w:p>
          <w:p w:rsidR="0072721E" w:rsidRDefault="0072721E">
            <w:pPr>
              <w:keepNext/>
              <w:spacing w:after="0"/>
              <w:ind w:left="720"/>
              <w:rPr>
                <w:b/>
                <w:i/>
                <w:sz w:val="24"/>
                <w:szCs w:val="24"/>
              </w:rPr>
            </w:pPr>
          </w:p>
          <w:p w:rsidR="0072721E" w:rsidRDefault="007F04EE">
            <w:pPr>
              <w:spacing w:after="0"/>
              <w:ind w:left="720"/>
              <w:jc w:val="left"/>
              <w:rPr>
                <w:b/>
                <w:i/>
                <w:sz w:val="24"/>
                <w:szCs w:val="24"/>
              </w:rPr>
            </w:pPr>
            <w:r>
              <w:rPr>
                <w:b/>
                <w:i/>
                <w:sz w:val="24"/>
                <w:szCs w:val="24"/>
              </w:rPr>
              <w:t xml:space="preserve">5.3.1 Review of the ODF outputs on seabird mitigation measures </w:t>
            </w:r>
          </w:p>
          <w:p w:rsidR="0072721E" w:rsidRDefault="0072721E">
            <w:pPr>
              <w:spacing w:after="0"/>
              <w:ind w:left="0"/>
              <w:jc w:val="left"/>
              <w:rPr>
                <w:sz w:val="24"/>
                <w:szCs w:val="24"/>
              </w:rPr>
            </w:pPr>
          </w:p>
          <w:p w:rsidR="0072721E" w:rsidRDefault="007F04EE">
            <w:pPr>
              <w:spacing w:after="0"/>
              <w:ind w:left="0"/>
              <w:jc w:val="left"/>
              <w:rPr>
                <w:sz w:val="24"/>
                <w:szCs w:val="24"/>
              </w:rPr>
            </w:pPr>
            <w:r>
              <w:rPr>
                <w:sz w:val="24"/>
                <w:szCs w:val="24"/>
              </w:rPr>
              <w:t>Recommendations</w:t>
            </w:r>
          </w:p>
          <w:p w:rsidR="0072721E" w:rsidRDefault="0072721E">
            <w:pPr>
              <w:spacing w:after="0"/>
              <w:ind w:left="0"/>
              <w:jc w:val="left"/>
              <w:rPr>
                <w:sz w:val="24"/>
                <w:szCs w:val="24"/>
              </w:rPr>
            </w:pPr>
          </w:p>
          <w:p w:rsidR="0072721E" w:rsidRDefault="007F04EE">
            <w:pPr>
              <w:numPr>
                <w:ilvl w:val="0"/>
                <w:numId w:val="50"/>
              </w:numPr>
              <w:spacing w:after="0"/>
              <w:ind w:left="0"/>
            </w:pPr>
            <w:r>
              <w:rPr>
                <w:sz w:val="24"/>
                <w:szCs w:val="24"/>
              </w:rPr>
              <w:t>SC17 recommends that Commission CCMs with small-scale longline vessels (&lt; 24m) operating north of 23° North provide the SC with information, such as the results of scientific research or EM-based commercial vessel survey, as well as the specific mitigation measures used by those vessels and the associated seabird interaction rates for each mitigation measure, if available, including streamer-less tori lines, and that SC18 review such information, to make findings and recommendations with respect to the effectiveness of the streamer-less tori line designs to inform the Commission’s review under CMM 2015-03 (and its successor measures).</w:t>
            </w:r>
          </w:p>
          <w:p w:rsidR="0072721E" w:rsidRDefault="0072721E">
            <w:pPr>
              <w:spacing w:after="0"/>
              <w:ind w:left="0"/>
              <w:rPr>
                <w:sz w:val="24"/>
                <w:szCs w:val="24"/>
              </w:rPr>
            </w:pPr>
          </w:p>
          <w:p w:rsidR="0072721E" w:rsidRDefault="007F04EE">
            <w:pPr>
              <w:numPr>
                <w:ilvl w:val="0"/>
                <w:numId w:val="50"/>
              </w:numPr>
              <w:spacing w:after="0"/>
              <w:ind w:left="0"/>
            </w:pPr>
            <w:r>
              <w:rPr>
                <w:sz w:val="24"/>
                <w:szCs w:val="24"/>
              </w:rPr>
              <w:t>SC17 encourages further experimental investigation of ‘strategic’ offal discharge and blue-dyed bait to determine the relative efficacy of these seabird bycatch mitigation methods.</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rPr>
          <w:trHeight w:val="480"/>
        </w:trPr>
        <w:tc>
          <w:tcPr>
            <w:tcW w:w="9600" w:type="dxa"/>
            <w:gridSpan w:val="2"/>
            <w:shd w:val="clear" w:color="auto" w:fill="auto"/>
            <w:tcMar>
              <w:top w:w="100" w:type="dxa"/>
              <w:left w:w="100" w:type="dxa"/>
              <w:bottom w:w="100" w:type="dxa"/>
              <w:right w:w="100" w:type="dxa"/>
            </w:tcMar>
          </w:tcPr>
          <w:p w:rsidR="0072721E" w:rsidRDefault="007F04EE">
            <w:pPr>
              <w:ind w:left="360" w:firstLine="360"/>
              <w:jc w:val="left"/>
              <w:rPr>
                <w:b/>
                <w:sz w:val="26"/>
                <w:szCs w:val="26"/>
              </w:rPr>
            </w:pPr>
            <w:r>
              <w:rPr>
                <w:b/>
                <w:sz w:val="26"/>
                <w:szCs w:val="26"/>
              </w:rPr>
              <w:t>AGENDA ITEM 6 — FUTURE WORK PROGRAM AND BUDGET</w:t>
            </w:r>
          </w:p>
          <w:p w:rsidR="0072721E" w:rsidRDefault="0072721E">
            <w:pPr>
              <w:widowControl w:val="0"/>
              <w:spacing w:after="0"/>
              <w:ind w:left="0"/>
              <w:jc w:val="left"/>
              <w:rPr>
                <w:b/>
                <w:sz w:val="28"/>
                <w:szCs w:val="28"/>
              </w:rPr>
            </w:pPr>
          </w:p>
        </w:tc>
      </w:tr>
      <w:tr w:rsidR="0072721E">
        <w:tc>
          <w:tcPr>
            <w:tcW w:w="6780" w:type="dxa"/>
            <w:shd w:val="clear" w:color="auto" w:fill="auto"/>
            <w:tcMar>
              <w:top w:w="100" w:type="dxa"/>
              <w:left w:w="100" w:type="dxa"/>
              <w:bottom w:w="100" w:type="dxa"/>
              <w:right w:w="100" w:type="dxa"/>
            </w:tcMar>
          </w:tcPr>
          <w:p w:rsidR="0072721E" w:rsidRDefault="007F04EE">
            <w:pPr>
              <w:spacing w:after="0"/>
              <w:ind w:left="480" w:right="78"/>
              <w:jc w:val="left"/>
              <w:rPr>
                <w:b/>
                <w:i/>
                <w:sz w:val="24"/>
                <w:szCs w:val="24"/>
              </w:rPr>
            </w:pPr>
            <w:r>
              <w:rPr>
                <w:b/>
                <w:i/>
                <w:sz w:val="24"/>
                <w:szCs w:val="24"/>
              </w:rPr>
              <w:t>6.1 Development of the 2022 work programme and budget, and projection of 2023-2024 provisional work programme and indicative budget</w:t>
            </w:r>
          </w:p>
          <w:p w:rsidR="0072721E" w:rsidRDefault="0072721E">
            <w:pPr>
              <w:spacing w:after="0"/>
              <w:ind w:left="1080"/>
              <w:jc w:val="left"/>
              <w:rPr>
                <w:sz w:val="24"/>
                <w:szCs w:val="24"/>
              </w:rPr>
            </w:pPr>
          </w:p>
          <w:p w:rsidR="0072721E" w:rsidRDefault="007F04EE">
            <w:pPr>
              <w:spacing w:after="0"/>
              <w:ind w:left="0"/>
              <w:rPr>
                <w:sz w:val="24"/>
                <w:szCs w:val="24"/>
              </w:rPr>
            </w:pPr>
            <w:r>
              <w:rPr>
                <w:sz w:val="24"/>
                <w:szCs w:val="24"/>
              </w:rPr>
              <w:t>Recommendation</w:t>
            </w:r>
          </w:p>
          <w:p w:rsidR="0072721E" w:rsidRDefault="007F04EE">
            <w:pPr>
              <w:spacing w:after="0"/>
              <w:ind w:left="0"/>
              <w:rPr>
                <w:sz w:val="24"/>
                <w:szCs w:val="24"/>
              </w:rPr>
            </w:pPr>
            <w:r>
              <w:rPr>
                <w:sz w:val="24"/>
                <w:szCs w:val="24"/>
              </w:rPr>
              <w:t xml:space="preserve"> </w:t>
            </w:r>
          </w:p>
          <w:p w:rsidR="0072721E" w:rsidRDefault="007F04EE">
            <w:pPr>
              <w:numPr>
                <w:ilvl w:val="0"/>
                <w:numId w:val="50"/>
              </w:numPr>
              <w:spacing w:after="0"/>
              <w:ind w:left="0"/>
            </w:pPr>
            <w:r>
              <w:rPr>
                <w:sz w:val="24"/>
                <w:szCs w:val="24"/>
              </w:rPr>
              <w:t>SC17 agreed that Table WP-01 be used to score and then rank SC projects. SC agreed to implement this approach at SC17 and thereafter. Ranking is derived from the average of the scores allocated by CCMs.</w:t>
            </w:r>
          </w:p>
          <w:p w:rsidR="0072721E" w:rsidRDefault="0072721E">
            <w:pPr>
              <w:spacing w:after="0"/>
              <w:ind w:left="0"/>
              <w:jc w:val="left"/>
              <w:rPr>
                <w:sz w:val="24"/>
                <w:szCs w:val="24"/>
              </w:rPr>
            </w:pPr>
          </w:p>
          <w:p w:rsidR="0072721E" w:rsidRDefault="007F04EE">
            <w:pPr>
              <w:spacing w:after="0"/>
              <w:ind w:left="0"/>
              <w:rPr>
                <w:sz w:val="24"/>
                <w:szCs w:val="24"/>
              </w:rPr>
            </w:pPr>
            <w:r>
              <w:rPr>
                <w:sz w:val="24"/>
                <w:szCs w:val="24"/>
              </w:rPr>
              <w:t>Table WP-01. SC project scoring table. Colours represent priority rankings (6,9 = High; 3,4 = Medium; 1,2 = Low):</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widowControl w:val="0"/>
              <w:spacing w:after="0"/>
              <w:ind w:left="0"/>
              <w:jc w:val="left"/>
              <w:rPr>
                <w:sz w:val="24"/>
                <w:szCs w:val="24"/>
              </w:rPr>
            </w:pPr>
            <w:r>
              <w:rPr>
                <w:b/>
                <w:i/>
                <w:sz w:val="24"/>
                <w:szCs w:val="24"/>
              </w:rPr>
              <w:t>6.1 d. Review of proposed projects for 2022 – 2024</w:t>
            </w:r>
          </w:p>
          <w:p w:rsidR="0072721E" w:rsidRDefault="0072721E">
            <w:pPr>
              <w:widowControl w:val="0"/>
              <w:spacing w:after="0"/>
              <w:ind w:left="1080"/>
              <w:jc w:val="left"/>
              <w:rPr>
                <w:sz w:val="24"/>
                <w:szCs w:val="24"/>
              </w:rPr>
            </w:pPr>
          </w:p>
          <w:p w:rsidR="0072721E" w:rsidRDefault="007F04EE">
            <w:pPr>
              <w:widowControl w:val="0"/>
              <w:numPr>
                <w:ilvl w:val="0"/>
                <w:numId w:val="50"/>
              </w:numPr>
              <w:spacing w:after="0"/>
              <w:ind w:left="0"/>
            </w:pPr>
            <w:r>
              <w:rPr>
                <w:sz w:val="24"/>
                <w:szCs w:val="24"/>
              </w:rPr>
              <w:t xml:space="preserve">SC17 recommended the proposed work program and budget for 2022 and indicative budget for 2023 – 2024 in Table WP-03 to the Commission. </w:t>
            </w:r>
          </w:p>
          <w:p w:rsidR="0072721E" w:rsidRDefault="0072721E">
            <w:pPr>
              <w:spacing w:after="0"/>
              <w:ind w:left="0"/>
              <w:rPr>
                <w:sz w:val="24"/>
                <w:szCs w:val="24"/>
              </w:rPr>
            </w:pPr>
          </w:p>
          <w:p w:rsidR="0072721E" w:rsidRDefault="007F04EE">
            <w:pPr>
              <w:widowControl w:val="0"/>
              <w:spacing w:after="0"/>
              <w:ind w:left="0"/>
              <w:rPr>
                <w:sz w:val="24"/>
                <w:szCs w:val="24"/>
              </w:rPr>
            </w:pPr>
            <w:r>
              <w:rPr>
                <w:sz w:val="24"/>
                <w:szCs w:val="24"/>
              </w:rPr>
              <w:t xml:space="preserve">Table WP-03. Recommended Future Work Program and Budget for 2022 – 2024, ordered by CCM’s averaged score. </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rPr>
          <w:trHeight w:val="480"/>
        </w:trPr>
        <w:tc>
          <w:tcPr>
            <w:tcW w:w="9600" w:type="dxa"/>
            <w:gridSpan w:val="2"/>
            <w:shd w:val="clear" w:color="auto" w:fill="auto"/>
            <w:tcMar>
              <w:top w:w="100" w:type="dxa"/>
              <w:left w:w="100" w:type="dxa"/>
              <w:bottom w:w="100" w:type="dxa"/>
              <w:right w:w="100" w:type="dxa"/>
            </w:tcMar>
          </w:tcPr>
          <w:p w:rsidR="0072721E" w:rsidRDefault="007F04EE">
            <w:pPr>
              <w:widowControl w:val="0"/>
              <w:spacing w:after="0"/>
              <w:ind w:left="0"/>
              <w:jc w:val="left"/>
              <w:rPr>
                <w:b/>
                <w:sz w:val="30"/>
                <w:szCs w:val="30"/>
              </w:rPr>
            </w:pPr>
            <w:r>
              <w:rPr>
                <w:b/>
                <w:sz w:val="26"/>
                <w:szCs w:val="26"/>
              </w:rPr>
              <w:t>AGENDA ITEM 7 — ADMINISTRATIVE MATTERS</w:t>
            </w:r>
          </w:p>
        </w:tc>
      </w:tr>
      <w:tr w:rsidR="0072721E">
        <w:tc>
          <w:tcPr>
            <w:tcW w:w="6780" w:type="dxa"/>
            <w:shd w:val="clear" w:color="auto" w:fill="auto"/>
            <w:tcMar>
              <w:top w:w="100" w:type="dxa"/>
              <w:left w:w="100" w:type="dxa"/>
              <w:bottom w:w="100" w:type="dxa"/>
              <w:right w:w="100" w:type="dxa"/>
            </w:tcMar>
          </w:tcPr>
          <w:p w:rsidR="0072721E" w:rsidRDefault="007F04EE">
            <w:pPr>
              <w:keepNext/>
              <w:spacing w:after="0"/>
              <w:ind w:left="0"/>
              <w:rPr>
                <w:b/>
                <w:i/>
                <w:sz w:val="24"/>
                <w:szCs w:val="24"/>
              </w:rPr>
            </w:pPr>
            <w:r>
              <w:rPr>
                <w:b/>
                <w:i/>
                <w:sz w:val="24"/>
                <w:szCs w:val="24"/>
              </w:rPr>
              <w:t xml:space="preserve">7.2 Next meeting  </w:t>
            </w:r>
          </w:p>
          <w:p w:rsidR="0072721E" w:rsidRDefault="0072721E">
            <w:pPr>
              <w:keepNext/>
              <w:spacing w:after="0"/>
              <w:ind w:left="720"/>
              <w:rPr>
                <w:sz w:val="24"/>
                <w:szCs w:val="24"/>
              </w:rPr>
            </w:pPr>
          </w:p>
          <w:p w:rsidR="0072721E" w:rsidRDefault="007F04EE">
            <w:pPr>
              <w:widowControl w:val="0"/>
              <w:numPr>
                <w:ilvl w:val="0"/>
                <w:numId w:val="50"/>
              </w:numPr>
              <w:spacing w:after="0"/>
              <w:ind w:left="0"/>
              <w:jc w:val="left"/>
            </w:pPr>
            <w:r>
              <w:rPr>
                <w:sz w:val="24"/>
                <w:szCs w:val="24"/>
              </w:rPr>
              <w:t>SC17 recommended to the Commission that SC18 would be held from 10–18 August 2022, and that it had not identified a host country for the meeting if held in person. Tonga offered to host SC19 in 2023.</w:t>
            </w:r>
          </w:p>
        </w:tc>
        <w:tc>
          <w:tcPr>
            <w:tcW w:w="2820" w:type="dxa"/>
            <w:shd w:val="clear" w:color="auto" w:fill="auto"/>
            <w:tcMar>
              <w:top w:w="100" w:type="dxa"/>
              <w:left w:w="100" w:type="dxa"/>
              <w:bottom w:w="100" w:type="dxa"/>
              <w:right w:w="100" w:type="dxa"/>
            </w:tcMar>
          </w:tcPr>
          <w:p w:rsidR="0072721E" w:rsidRDefault="0072721E">
            <w:pPr>
              <w:widowControl w:val="0"/>
              <w:spacing w:after="0"/>
              <w:ind w:left="0"/>
              <w:jc w:val="left"/>
              <w:rPr>
                <w:b/>
                <w:sz w:val="28"/>
                <w:szCs w:val="28"/>
              </w:rPr>
            </w:pPr>
          </w:p>
          <w:p w:rsidR="0072721E" w:rsidRDefault="0072721E">
            <w:pPr>
              <w:widowControl w:val="0"/>
              <w:spacing w:after="0"/>
              <w:ind w:left="0"/>
              <w:jc w:val="left"/>
              <w:rPr>
                <w:b/>
                <w:sz w:val="28"/>
                <w:szCs w:val="28"/>
              </w:rPr>
            </w:pPr>
          </w:p>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spacing w:after="0"/>
              <w:ind w:left="0"/>
              <w:jc w:val="left"/>
              <w:rPr>
                <w:b/>
                <w:sz w:val="24"/>
                <w:szCs w:val="24"/>
              </w:rPr>
            </w:pPr>
            <w:r>
              <w:rPr>
                <w:b/>
                <w:sz w:val="24"/>
                <w:szCs w:val="24"/>
              </w:rPr>
              <w:t>AGENDA ITEM 9 — ADOPTION OF THE SUMMARY REPORT OF THE SEVENTEENTH REGULAR SESSION OF THE SCIENTIFIC COMMITTEE</w:t>
            </w:r>
          </w:p>
          <w:p w:rsidR="0072721E" w:rsidRDefault="0072721E">
            <w:pPr>
              <w:widowControl w:val="0"/>
              <w:spacing w:after="0"/>
              <w:ind w:left="0"/>
              <w:jc w:val="left"/>
              <w:rPr>
                <w:b/>
                <w:sz w:val="28"/>
                <w:szCs w:val="28"/>
              </w:rPr>
            </w:pPr>
          </w:p>
        </w:tc>
        <w:tc>
          <w:tcPr>
            <w:tcW w:w="2820" w:type="dxa"/>
            <w:shd w:val="clear" w:color="auto" w:fill="auto"/>
            <w:tcMar>
              <w:top w:w="100" w:type="dxa"/>
              <w:left w:w="100" w:type="dxa"/>
              <w:bottom w:w="100" w:type="dxa"/>
              <w:right w:w="100" w:type="dxa"/>
            </w:tcMar>
          </w:tcPr>
          <w:p w:rsidR="0072721E" w:rsidRDefault="007F04EE">
            <w:pPr>
              <w:widowControl w:val="0"/>
              <w:spacing w:after="0"/>
              <w:ind w:left="0"/>
              <w:jc w:val="left"/>
              <w:rPr>
                <w:b/>
                <w:sz w:val="28"/>
                <w:szCs w:val="28"/>
              </w:rPr>
            </w:pPr>
            <w:r>
              <w:rPr>
                <w:sz w:val="24"/>
                <w:szCs w:val="24"/>
              </w:rPr>
              <w:t>Recommended that all issues under this agenda be supported</w:t>
            </w:r>
          </w:p>
        </w:tc>
      </w:tr>
      <w:tr w:rsidR="0072721E">
        <w:tc>
          <w:tcPr>
            <w:tcW w:w="6780" w:type="dxa"/>
            <w:shd w:val="clear" w:color="auto" w:fill="auto"/>
            <w:tcMar>
              <w:top w:w="100" w:type="dxa"/>
              <w:left w:w="100" w:type="dxa"/>
              <w:bottom w:w="100" w:type="dxa"/>
              <w:right w:w="100" w:type="dxa"/>
            </w:tcMar>
          </w:tcPr>
          <w:p w:rsidR="0072721E" w:rsidRDefault="007F04EE">
            <w:pPr>
              <w:numPr>
                <w:ilvl w:val="0"/>
                <w:numId w:val="50"/>
              </w:numPr>
              <w:spacing w:after="0"/>
              <w:ind w:left="0"/>
              <w:jc w:val="left"/>
            </w:pPr>
            <w:bookmarkStart w:id="78" w:name="_3dy6vkm" w:colFirst="0" w:colLast="0"/>
            <w:bookmarkEnd w:id="78"/>
            <w:r>
              <w:rPr>
                <w:sz w:val="24"/>
                <w:szCs w:val="24"/>
              </w:rPr>
              <w:t>SC17 adopted the recommendations of the Seventeenth Regular Session of the Scientific Committee intersessionally according to a schedule provided with a final approval by early November 2021</w:t>
            </w:r>
          </w:p>
        </w:tc>
        <w:tc>
          <w:tcPr>
            <w:tcW w:w="2820" w:type="dxa"/>
            <w:shd w:val="clear" w:color="auto" w:fill="auto"/>
            <w:tcMar>
              <w:top w:w="100" w:type="dxa"/>
              <w:left w:w="100" w:type="dxa"/>
              <w:bottom w:w="100" w:type="dxa"/>
              <w:right w:w="100" w:type="dxa"/>
            </w:tcMar>
          </w:tcPr>
          <w:p w:rsidR="0072721E" w:rsidRDefault="007F04EE">
            <w:pPr>
              <w:widowControl w:val="0"/>
              <w:spacing w:after="0"/>
              <w:ind w:left="0"/>
              <w:jc w:val="left"/>
              <w:rPr>
                <w:b/>
                <w:sz w:val="28"/>
                <w:szCs w:val="28"/>
              </w:rPr>
            </w:pPr>
            <w:r>
              <w:rPr>
                <w:sz w:val="24"/>
                <w:szCs w:val="24"/>
              </w:rPr>
              <w:t>Recommended that all issues under this agenda be supported</w:t>
            </w:r>
          </w:p>
        </w:tc>
      </w:tr>
    </w:tbl>
    <w:p w:rsidR="0072721E" w:rsidRDefault="0072721E">
      <w:pPr>
        <w:spacing w:after="0"/>
        <w:ind w:left="0"/>
        <w:rPr>
          <w:sz w:val="24"/>
          <w:szCs w:val="24"/>
        </w:rPr>
      </w:pPr>
    </w:p>
    <w:p w:rsidR="0072721E" w:rsidRDefault="0072721E">
      <w:pPr>
        <w:pBdr>
          <w:top w:val="nil"/>
          <w:left w:val="nil"/>
          <w:bottom w:val="nil"/>
          <w:right w:val="nil"/>
          <w:between w:val="nil"/>
        </w:pBdr>
        <w:ind w:left="357" w:hanging="357"/>
        <w:rPr>
          <w:i/>
          <w:sz w:val="18"/>
          <w:szCs w:val="18"/>
        </w:rPr>
      </w:pPr>
    </w:p>
    <w:p w:rsidR="0072721E" w:rsidRDefault="0072721E">
      <w:pPr>
        <w:rPr>
          <w:highlight w:val="yellow"/>
        </w:rPr>
      </w:pPr>
    </w:p>
    <w:p w:rsidR="0072721E" w:rsidRDefault="007F04EE">
      <w:pPr>
        <w:ind w:left="0"/>
        <w:rPr>
          <w:sz w:val="21"/>
          <w:szCs w:val="21"/>
        </w:rPr>
      </w:pPr>
      <w:bookmarkStart w:id="79" w:name="_1302m92" w:colFirst="0" w:colLast="0"/>
      <w:bookmarkEnd w:id="79"/>
      <w:r>
        <w:rPr>
          <w:sz w:val="21"/>
          <w:szCs w:val="21"/>
        </w:rPr>
        <w:t xml:space="preserve"> </w:t>
      </w:r>
    </w:p>
    <w:p w:rsidR="0072721E" w:rsidRDefault="0072721E">
      <w:pPr>
        <w:ind w:left="0"/>
      </w:pPr>
    </w:p>
    <w:sectPr w:rsidR="0072721E">
      <w:headerReference w:type="default" r:id="rId160"/>
      <w:footerReference w:type="default" r:id="rId161"/>
      <w:headerReference w:type="first" r:id="rId162"/>
      <w:footerReference w:type="first" r:id="rId163"/>
      <w:pgSz w:w="11906" w:h="16838"/>
      <w:pgMar w:top="1814" w:right="850" w:bottom="708" w:left="850" w:header="850" w:footer="850" w:gutter="0"/>
      <w:pgNumType w:start="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4EE" w:rsidRDefault="007F04EE">
      <w:pPr>
        <w:spacing w:after="0"/>
      </w:pPr>
      <w:r>
        <w:separator/>
      </w:r>
    </w:p>
  </w:endnote>
  <w:endnote w:type="continuationSeparator" w:id="0">
    <w:p w:rsidR="007F04EE" w:rsidRDefault="007F04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4EE" w:rsidRDefault="007F04EE">
    <w:pPr>
      <w:pBdr>
        <w:top w:val="nil"/>
        <w:left w:val="nil"/>
        <w:bottom w:val="nil"/>
        <w:right w:val="nil"/>
        <w:between w:val="nil"/>
      </w:pBdr>
      <w:tabs>
        <w:tab w:val="center" w:pos="4513"/>
        <w:tab w:val="right" w:pos="9026"/>
      </w:tabs>
      <w:spacing w:after="0"/>
      <w:ind w:left="357" w:hanging="357"/>
      <w:jc w:val="right"/>
      <w:rPr>
        <w:color w:val="000000"/>
        <w:sz w:val="18"/>
        <w:szCs w:val="18"/>
      </w:rPr>
    </w:pPr>
    <w:r>
      <w:rPr>
        <w:color w:val="808080"/>
        <w:sz w:val="18"/>
        <w:szCs w:val="18"/>
      </w:rPr>
      <w:t>Prepared by the FFA Secretariat</w:t>
    </w:r>
    <w:r>
      <w:rPr>
        <w:color w:val="808080"/>
        <w:sz w:val="18"/>
        <w:szCs w:val="18"/>
      </w:rPr>
      <w:tab/>
    </w:r>
    <w:r>
      <w:rPr>
        <w:color w:val="808080"/>
        <w:sz w:val="18"/>
        <w:szCs w:val="18"/>
      </w:rPr>
      <w:tab/>
    </w:r>
    <w:r>
      <w:rPr>
        <w:color w:val="808080"/>
        <w:sz w:val="18"/>
        <w:szCs w:val="18"/>
      </w:rPr>
      <w:tab/>
      <w:t xml:space="preserve">Page </w:t>
    </w:r>
    <w:r>
      <w:rPr>
        <w:color w:val="808080"/>
        <w:sz w:val="18"/>
        <w:szCs w:val="18"/>
      </w:rPr>
      <w:fldChar w:fldCharType="begin"/>
    </w:r>
    <w:r>
      <w:rPr>
        <w:color w:val="808080"/>
        <w:sz w:val="18"/>
        <w:szCs w:val="18"/>
      </w:rPr>
      <w:instrText>PAGE</w:instrText>
    </w:r>
    <w:r>
      <w:rPr>
        <w:color w:val="808080"/>
        <w:sz w:val="18"/>
        <w:szCs w:val="18"/>
      </w:rPr>
      <w:fldChar w:fldCharType="separate"/>
    </w:r>
    <w:r w:rsidR="00BB5A31">
      <w:rPr>
        <w:noProof/>
        <w:color w:val="808080"/>
        <w:sz w:val="18"/>
        <w:szCs w:val="18"/>
      </w:rPr>
      <w:t>19</w:t>
    </w:r>
    <w:r>
      <w:rPr>
        <w:color w:val="808080"/>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4EE" w:rsidRDefault="007F04EE">
    <w:pPr>
      <w:pBdr>
        <w:top w:val="nil"/>
        <w:left w:val="nil"/>
        <w:bottom w:val="nil"/>
        <w:right w:val="nil"/>
        <w:between w:val="nil"/>
      </w:pBdr>
      <w:tabs>
        <w:tab w:val="center" w:pos="4513"/>
        <w:tab w:val="right" w:pos="9026"/>
      </w:tabs>
      <w:spacing w:after="0"/>
      <w:ind w:left="357" w:hanging="357"/>
      <w:jc w:val="right"/>
      <w:rPr>
        <w:rFonts w:ascii="Times New Roman" w:eastAsia="Times New Roman" w:hAnsi="Times New Roman" w:cs="Times New Roman"/>
        <w:color w:val="000000"/>
        <w:sz w:val="24"/>
        <w:szCs w:val="24"/>
      </w:rPr>
    </w:pPr>
  </w:p>
  <w:p w:rsidR="007F04EE" w:rsidRDefault="007F04EE">
    <w:pPr>
      <w:pBdr>
        <w:top w:val="nil"/>
        <w:left w:val="nil"/>
        <w:bottom w:val="nil"/>
        <w:right w:val="nil"/>
        <w:between w:val="nil"/>
      </w:pBdr>
      <w:tabs>
        <w:tab w:val="center" w:pos="4513"/>
        <w:tab w:val="right" w:pos="9026"/>
      </w:tabs>
      <w:spacing w:after="0"/>
      <w:ind w:left="357" w:hanging="357"/>
      <w:jc w:val="lef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4EE" w:rsidRDefault="007F04EE">
      <w:pPr>
        <w:spacing w:after="0"/>
      </w:pPr>
      <w:r>
        <w:separator/>
      </w:r>
    </w:p>
  </w:footnote>
  <w:footnote w:type="continuationSeparator" w:id="0">
    <w:p w:rsidR="007F04EE" w:rsidRDefault="007F04EE">
      <w:pPr>
        <w:spacing w:after="0"/>
      </w:pPr>
      <w:r>
        <w:continuationSeparator/>
      </w:r>
    </w:p>
  </w:footnote>
  <w:footnote w:id="1">
    <w:p w:rsidR="007F04EE" w:rsidRDefault="007F04EE">
      <w:pPr>
        <w:spacing w:after="0"/>
        <w:ind w:left="0"/>
        <w:jc w:val="left"/>
        <w:rPr>
          <w:rFonts w:ascii="Times New Roman" w:eastAsia="Times New Roman" w:hAnsi="Times New Roman" w:cs="Times New Roman"/>
          <w:sz w:val="20"/>
          <w:szCs w:val="20"/>
        </w:rPr>
      </w:pPr>
      <w:r>
        <w:rPr>
          <w:vertAlign w:val="superscript"/>
        </w:rPr>
        <w:footnoteRef/>
      </w:r>
      <w:r>
        <w:rPr>
          <w:sz w:val="20"/>
          <w:szCs w:val="20"/>
        </w:rPr>
        <w:t xml:space="preserve"> SC10-EB-WP-10: </w:t>
      </w:r>
      <w:hyperlink r:id="rId1">
        <w:r>
          <w:rPr>
            <w:color w:val="0000FF"/>
            <w:sz w:val="20"/>
            <w:szCs w:val="20"/>
            <w:u w:val="single"/>
          </w:rPr>
          <w:t>https://meetings.wcpfc.int/node/8758</w:t>
        </w:r>
      </w:hyperlink>
      <w:r>
        <w:rPr>
          <w:rFonts w:ascii="Times New Roman" w:eastAsia="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4EE" w:rsidRDefault="007F04EE">
    <w:pPr>
      <w:tabs>
        <w:tab w:val="center" w:pos="4513"/>
        <w:tab w:val="right" w:pos="9026"/>
      </w:tabs>
      <w:spacing w:after="0"/>
      <w:ind w:left="357"/>
      <w:jc w:val="center"/>
      <w:rPr>
        <w:i/>
        <w:color w:val="666666"/>
      </w:rPr>
    </w:pPr>
    <w:r>
      <w:rPr>
        <w:i/>
        <w:color w:val="666666"/>
      </w:rPr>
      <w:t>FFA BRIEF FOR THE 18TH SESSION OF THE WESTERN &amp; CENTRAL PACIFIC FISHERIES COMMISSION</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4EE" w:rsidRDefault="007F04EE">
    <w:pPr>
      <w:pBdr>
        <w:top w:val="nil"/>
        <w:left w:val="nil"/>
        <w:bottom w:val="nil"/>
        <w:right w:val="nil"/>
        <w:between w:val="nil"/>
      </w:pBdr>
      <w:tabs>
        <w:tab w:val="center" w:pos="4513"/>
        <w:tab w:val="right" w:pos="9026"/>
      </w:tabs>
      <w:spacing w:after="0"/>
      <w:ind w:left="357" w:hanging="357"/>
      <w:jc w:val="right"/>
      <w:rPr>
        <w:b/>
        <w:color w:val="FFFFFF"/>
        <w:sz w:val="24"/>
        <w:szCs w:val="24"/>
      </w:rPr>
    </w:pPr>
    <w:r>
      <w:rPr>
        <w:b/>
        <w:color w:val="FFFFFF"/>
        <w:sz w:val="24"/>
        <w:szCs w:val="24"/>
      </w:rPr>
      <w:t>CONFIDENTIAL – FFA EYES ONLY</w:t>
    </w:r>
    <w:r>
      <w:rPr>
        <w:noProof/>
      </w:rPr>
      <w:drawing>
        <wp:anchor distT="0" distB="0" distL="0" distR="0" simplePos="0" relativeHeight="251658240" behindDoc="0" locked="0" layoutInCell="1" hidden="0" allowOverlap="1">
          <wp:simplePos x="0" y="0"/>
          <wp:positionH relativeFrom="column">
            <wp:posOffset>-638174</wp:posOffset>
          </wp:positionH>
          <wp:positionV relativeFrom="paragraph">
            <wp:posOffset>-539999</wp:posOffset>
          </wp:positionV>
          <wp:extent cx="7684825" cy="820988"/>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84825" cy="820988"/>
                  </a:xfrm>
                  <a:prstGeom prst="rect">
                    <a:avLst/>
                  </a:prstGeom>
                  <a:ln/>
                </pic:spPr>
              </pic:pic>
            </a:graphicData>
          </a:graphic>
        </wp:anchor>
      </w:drawing>
    </w:r>
  </w:p>
  <w:p w:rsidR="007F04EE" w:rsidRDefault="007F04EE">
    <w:pPr>
      <w:pBdr>
        <w:top w:val="nil"/>
        <w:left w:val="nil"/>
        <w:bottom w:val="nil"/>
        <w:right w:val="nil"/>
        <w:between w:val="nil"/>
      </w:pBdr>
      <w:tabs>
        <w:tab w:val="center" w:pos="4513"/>
        <w:tab w:val="right" w:pos="9026"/>
      </w:tabs>
      <w:spacing w:after="0"/>
      <w:ind w:left="0"/>
      <w:jc w:val="right"/>
      <w:rPr>
        <w:color w:val="000000"/>
        <w:sz w:val="24"/>
        <w:szCs w:val="24"/>
      </w:rPr>
    </w:pPr>
    <w:r>
      <w:rPr>
        <w:b/>
        <w:color w:val="FFFFFF"/>
        <w:sz w:val="24"/>
        <w:szCs w:val="24"/>
      </w:rPr>
      <w:t>NON-PUBLIC DOMAIN</w:t>
    </w:r>
    <w:r>
      <w:rPr>
        <w:color w:val="000000"/>
        <w:sz w:val="24"/>
        <w:szCs w:val="24"/>
      </w:rPr>
      <w:t xml:space="preserve"> </w:t>
    </w:r>
  </w:p>
  <w:p w:rsidR="007F04EE" w:rsidRDefault="007F04EE">
    <w:pPr>
      <w:pBdr>
        <w:top w:val="nil"/>
        <w:left w:val="nil"/>
        <w:bottom w:val="nil"/>
        <w:right w:val="nil"/>
        <w:between w:val="nil"/>
      </w:pBdr>
      <w:tabs>
        <w:tab w:val="center" w:pos="4513"/>
        <w:tab w:val="right" w:pos="9026"/>
      </w:tabs>
      <w:spacing w:after="0"/>
      <w:ind w:left="357" w:hanging="357"/>
      <w:jc w:val="left"/>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14"/>
    <w:multiLevelType w:val="multilevel"/>
    <w:tmpl w:val="3B28D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2A6167"/>
    <w:multiLevelType w:val="multilevel"/>
    <w:tmpl w:val="EE06F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F863FB"/>
    <w:multiLevelType w:val="multilevel"/>
    <w:tmpl w:val="D764B9DA"/>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6C5261"/>
    <w:multiLevelType w:val="multilevel"/>
    <w:tmpl w:val="1A50D1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AEA5935"/>
    <w:multiLevelType w:val="multilevel"/>
    <w:tmpl w:val="FE06E8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AF623E4"/>
    <w:multiLevelType w:val="multilevel"/>
    <w:tmpl w:val="14D0B632"/>
    <w:lvl w:ilvl="0">
      <w:start w:val="1"/>
      <w:numFmt w:val="low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B591047"/>
    <w:multiLevelType w:val="multilevel"/>
    <w:tmpl w:val="56903508"/>
    <w:lvl w:ilvl="0">
      <w:start w:val="1"/>
      <w:numFmt w:val="decimal"/>
      <w:lvlText w:val="%1)"/>
      <w:lvlJc w:val="left"/>
      <w:pPr>
        <w:ind w:left="1080" w:hanging="360"/>
      </w:pPr>
      <w:rPr>
        <w:rFonts w:ascii="Calibri" w:eastAsia="Calibri" w:hAnsi="Calibri" w:cs="Calibri"/>
        <w:b w:val="0"/>
        <w:i w:val="0"/>
        <w:color w:val="000000"/>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0C6B2049"/>
    <w:multiLevelType w:val="multilevel"/>
    <w:tmpl w:val="A3C66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CD56BA5"/>
    <w:multiLevelType w:val="multilevel"/>
    <w:tmpl w:val="E02CA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7B49BC"/>
    <w:multiLevelType w:val="multilevel"/>
    <w:tmpl w:val="E7147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FC32D5"/>
    <w:multiLevelType w:val="multilevel"/>
    <w:tmpl w:val="B462B9DA"/>
    <w:lvl w:ilvl="0">
      <w:start w:val="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12C83BB1"/>
    <w:multiLevelType w:val="multilevel"/>
    <w:tmpl w:val="4A9CC01E"/>
    <w:lvl w:ilvl="0">
      <w:start w:val="2"/>
      <w:numFmt w:val="decimal"/>
      <w:lvlText w:val="%1."/>
      <w:lvlJc w:val="left"/>
      <w:pPr>
        <w:ind w:left="360" w:hanging="360"/>
      </w:pPr>
    </w:lvl>
    <w:lvl w:ilvl="1">
      <w:start w:val="1"/>
      <w:numFmt w:val="decimal"/>
      <w:lvlText w:val="%1.%2"/>
      <w:lvlJc w:val="left"/>
      <w:pPr>
        <w:ind w:left="720" w:hanging="720"/>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1080" w:hanging="1080"/>
      </w:pPr>
    </w:lvl>
    <w:lvl w:ilvl="3">
      <w:start w:val="1"/>
      <w:numFmt w:val="decimal"/>
      <w:lvlText w:val="%1.%2.%3.%4."/>
      <w:lvlJc w:val="left"/>
      <w:pPr>
        <w:ind w:left="1800" w:hanging="108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0276FB"/>
    <w:multiLevelType w:val="multilevel"/>
    <w:tmpl w:val="86723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4070726"/>
    <w:multiLevelType w:val="multilevel"/>
    <w:tmpl w:val="F7E0D4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4AA7BA0"/>
    <w:multiLevelType w:val="multilevel"/>
    <w:tmpl w:val="EAD0AE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C8836AC"/>
    <w:multiLevelType w:val="multilevel"/>
    <w:tmpl w:val="41C81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E73472C"/>
    <w:multiLevelType w:val="multilevel"/>
    <w:tmpl w:val="429494CC"/>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272170E"/>
    <w:multiLevelType w:val="multilevel"/>
    <w:tmpl w:val="3A842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33A2B23"/>
    <w:multiLevelType w:val="multilevel"/>
    <w:tmpl w:val="260CFD5E"/>
    <w:lvl w:ilvl="0">
      <w:start w:val="1"/>
      <w:numFmt w:val="decimal"/>
      <w:lvlText w:val="%1."/>
      <w:lvlJc w:val="left"/>
      <w:pPr>
        <w:ind w:left="360" w:hanging="360"/>
      </w:pPr>
      <w:rPr>
        <w:rFonts w:ascii="Calibri" w:eastAsia="Calibri" w:hAnsi="Calibri" w:cs="Calibri"/>
        <w:b w:val="0"/>
        <w:i w:val="0"/>
        <w:sz w:val="22"/>
        <w:szCs w:val="22"/>
      </w:rPr>
    </w:lvl>
    <w:lvl w:ilvl="1">
      <w:start w:val="1"/>
      <w:numFmt w:val="lowerLetter"/>
      <w:lvlText w:val="%2."/>
      <w:lvlJc w:val="left"/>
      <w:pPr>
        <w:ind w:left="1080" w:hanging="360"/>
      </w:pPr>
      <w:rPr>
        <w:b w:val="0"/>
      </w:rPr>
    </w:lvl>
    <w:lvl w:ilvl="2">
      <w:start w:val="1"/>
      <w:numFmt w:val="lowerRoman"/>
      <w:lvlText w:val="%3."/>
      <w:lvlJc w:val="right"/>
      <w:pPr>
        <w:ind w:left="1800" w:hanging="180"/>
      </w:pPr>
    </w:lvl>
    <w:lvl w:ilvl="3">
      <w:start w:val="1"/>
      <w:numFmt w:val="bullet"/>
      <w:lvlText w:val="●"/>
      <w:lvlJc w:val="left"/>
      <w:pPr>
        <w:ind w:left="2520" w:hanging="360"/>
      </w:pPr>
      <w:rPr>
        <w:rFonts w:ascii="Noto Sans Symbols" w:eastAsia="Noto Sans Symbols" w:hAnsi="Noto Sans Symbols" w:cs="Noto Sans Symbol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435335E"/>
    <w:multiLevelType w:val="multilevel"/>
    <w:tmpl w:val="BE50A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D60E7"/>
    <w:multiLevelType w:val="multilevel"/>
    <w:tmpl w:val="86E0B41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5A7399D"/>
    <w:multiLevelType w:val="multilevel"/>
    <w:tmpl w:val="0FA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ED275C1"/>
    <w:multiLevelType w:val="multilevel"/>
    <w:tmpl w:val="829E85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04515D3"/>
    <w:multiLevelType w:val="multilevel"/>
    <w:tmpl w:val="F6688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5D31F13"/>
    <w:multiLevelType w:val="multilevel"/>
    <w:tmpl w:val="B394B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700421F"/>
    <w:multiLevelType w:val="multilevel"/>
    <w:tmpl w:val="BD5869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7951F74"/>
    <w:multiLevelType w:val="multilevel"/>
    <w:tmpl w:val="AA5AB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A191AA7"/>
    <w:multiLevelType w:val="multilevel"/>
    <w:tmpl w:val="3D16C7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C6064FA"/>
    <w:multiLevelType w:val="multilevel"/>
    <w:tmpl w:val="4F284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D0C3B5D"/>
    <w:multiLevelType w:val="multilevel"/>
    <w:tmpl w:val="577238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3DB63824"/>
    <w:multiLevelType w:val="multilevel"/>
    <w:tmpl w:val="01AA3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FBC5FB8"/>
    <w:multiLevelType w:val="multilevel"/>
    <w:tmpl w:val="D8DE7BB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2" w15:restartNumberingAfterBreak="0">
    <w:nsid w:val="404F69A0"/>
    <w:multiLevelType w:val="multilevel"/>
    <w:tmpl w:val="F836F6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43780450"/>
    <w:multiLevelType w:val="multilevel"/>
    <w:tmpl w:val="26FE5D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46D50E9"/>
    <w:multiLevelType w:val="multilevel"/>
    <w:tmpl w:val="6986C32E"/>
    <w:lvl w:ilvl="0">
      <w:start w:val="1"/>
      <w:numFmt w:val="decimal"/>
      <w:lvlText w:val="%1."/>
      <w:lvlJc w:val="left"/>
      <w:pPr>
        <w:ind w:left="1080" w:hanging="360"/>
      </w:pPr>
      <w:rPr>
        <w:rFonts w:ascii="Calibri" w:eastAsia="Calibri" w:hAnsi="Calibri" w:cs="Calibri"/>
        <w:b w:val="0"/>
        <w:i w:val="0"/>
        <w:strike w:val="0"/>
        <w:color w:val="000000"/>
        <w:sz w:val="22"/>
        <w:szCs w:val="22"/>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decimal"/>
      <w:lvlText w:val="%4)"/>
      <w:lvlJc w:val="left"/>
      <w:pPr>
        <w:ind w:left="4680" w:hanging="360"/>
      </w:pPr>
    </w:lvl>
    <w:lvl w:ilvl="4">
      <w:start w:val="1"/>
      <w:numFmt w:val="decimal"/>
      <w:lvlText w:val="(%5)"/>
      <w:lvlJc w:val="left"/>
      <w:pPr>
        <w:ind w:left="5400" w:hanging="360"/>
      </w:pPr>
    </w:lvl>
    <w:lvl w:ilvl="5">
      <w:start w:val="1"/>
      <w:numFmt w:val="lowerLetter"/>
      <w:lvlText w:val="%6."/>
      <w:lvlJc w:val="left"/>
      <w:pPr>
        <w:ind w:left="6120" w:hanging="360"/>
      </w:p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5" w15:restartNumberingAfterBreak="0">
    <w:nsid w:val="459C3F03"/>
    <w:multiLevelType w:val="multilevel"/>
    <w:tmpl w:val="126C07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4AA84D72"/>
    <w:multiLevelType w:val="multilevel"/>
    <w:tmpl w:val="99B8C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C435B08"/>
    <w:multiLevelType w:val="multilevel"/>
    <w:tmpl w:val="099049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4D631DF3"/>
    <w:multiLevelType w:val="multilevel"/>
    <w:tmpl w:val="745EB5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4D75580F"/>
    <w:multiLevelType w:val="multilevel"/>
    <w:tmpl w:val="DB26C8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DE92FF6"/>
    <w:multiLevelType w:val="multilevel"/>
    <w:tmpl w:val="37C63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F147CC5"/>
    <w:multiLevelType w:val="multilevel"/>
    <w:tmpl w:val="A9BACA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507C5E27"/>
    <w:multiLevelType w:val="multilevel"/>
    <w:tmpl w:val="B74C70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51EE5059"/>
    <w:multiLevelType w:val="multilevel"/>
    <w:tmpl w:val="3D380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3BE556F"/>
    <w:multiLevelType w:val="multilevel"/>
    <w:tmpl w:val="A3F2EC76"/>
    <w:lvl w:ilvl="0">
      <w:start w:val="1"/>
      <w:numFmt w:val="decimal"/>
      <w:lvlText w:val="%1."/>
      <w:lvlJc w:val="left"/>
      <w:pPr>
        <w:ind w:left="420" w:hanging="420"/>
      </w:pPr>
      <w:rPr>
        <w:rFonts w:ascii="Calibri" w:eastAsia="Calibri" w:hAnsi="Calibri" w:cs="Calibri"/>
      </w:rPr>
    </w:lvl>
    <w:lvl w:ilvl="1">
      <w:start w:val="1"/>
      <w:numFmt w:val="bullet"/>
      <w:lvlText w:val="●"/>
      <w:lvlJc w:val="left"/>
      <w:pPr>
        <w:ind w:left="780" w:hanging="360"/>
      </w:pPr>
      <w:rPr>
        <w:rFonts w:ascii="Noto Sans Symbols" w:eastAsia="Noto Sans Symbols" w:hAnsi="Noto Sans Symbols" w:cs="Noto Sans Symbols"/>
      </w:rPr>
    </w:lvl>
    <w:lvl w:ilvl="2">
      <w:start w:val="2"/>
      <w:numFmt w:val="lowerLetter"/>
      <w:lvlText w:val="%3."/>
      <w:lvlJc w:val="left"/>
      <w:pPr>
        <w:ind w:left="1200" w:hanging="360"/>
      </w:pPr>
      <w:rPr>
        <w:rFonts w:ascii="Times New Roman" w:eastAsia="Times New Roman" w:hAnsi="Times New Roman" w:cs="Times New Roman"/>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45" w15:restartNumberingAfterBreak="0">
    <w:nsid w:val="546B5601"/>
    <w:multiLevelType w:val="multilevel"/>
    <w:tmpl w:val="55DAF9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562871FF"/>
    <w:multiLevelType w:val="multilevel"/>
    <w:tmpl w:val="442837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8045B84"/>
    <w:multiLevelType w:val="multilevel"/>
    <w:tmpl w:val="652484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C073088"/>
    <w:multiLevelType w:val="multilevel"/>
    <w:tmpl w:val="1DC08F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CD354EC"/>
    <w:multiLevelType w:val="multilevel"/>
    <w:tmpl w:val="42F894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5CF32428"/>
    <w:multiLevelType w:val="multilevel"/>
    <w:tmpl w:val="B232C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D7F1B4E"/>
    <w:multiLevelType w:val="multilevel"/>
    <w:tmpl w:val="752ED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F2C5818"/>
    <w:multiLevelType w:val="multilevel"/>
    <w:tmpl w:val="B78AB5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60A15019"/>
    <w:multiLevelType w:val="multilevel"/>
    <w:tmpl w:val="303E35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3A85F12"/>
    <w:multiLevelType w:val="multilevel"/>
    <w:tmpl w:val="DC449E36"/>
    <w:lvl w:ilvl="0">
      <w:start w:val="1"/>
      <w:numFmt w:val="bullet"/>
      <w:lvlText w:val="●"/>
      <w:lvlJc w:val="left"/>
      <w:pPr>
        <w:ind w:left="1288" w:hanging="359"/>
      </w:pPr>
      <w:rPr>
        <w:rFonts w:ascii="Noto Sans Symbols" w:eastAsia="Noto Sans Symbols" w:hAnsi="Noto Sans Symbols" w:cs="Noto Sans Symbols"/>
      </w:rPr>
    </w:lvl>
    <w:lvl w:ilvl="1">
      <w:start w:val="1"/>
      <w:numFmt w:val="bullet"/>
      <w:lvlText w:val="o"/>
      <w:lvlJc w:val="left"/>
      <w:pPr>
        <w:ind w:left="2008" w:hanging="360"/>
      </w:pPr>
      <w:rPr>
        <w:rFonts w:ascii="Courier New" w:eastAsia="Courier New" w:hAnsi="Courier New" w:cs="Courier New"/>
      </w:rPr>
    </w:lvl>
    <w:lvl w:ilvl="2">
      <w:start w:val="1"/>
      <w:numFmt w:val="bullet"/>
      <w:lvlText w:val="▪"/>
      <w:lvlJc w:val="left"/>
      <w:pPr>
        <w:ind w:left="2728" w:hanging="360"/>
      </w:pPr>
      <w:rPr>
        <w:rFonts w:ascii="Noto Sans Symbols" w:eastAsia="Noto Sans Symbols" w:hAnsi="Noto Sans Symbols" w:cs="Noto Sans Symbols"/>
      </w:rPr>
    </w:lvl>
    <w:lvl w:ilvl="3">
      <w:start w:val="1"/>
      <w:numFmt w:val="bullet"/>
      <w:lvlText w:val="●"/>
      <w:lvlJc w:val="left"/>
      <w:pPr>
        <w:ind w:left="3448" w:hanging="360"/>
      </w:pPr>
      <w:rPr>
        <w:rFonts w:ascii="Noto Sans Symbols" w:eastAsia="Noto Sans Symbols" w:hAnsi="Noto Sans Symbols" w:cs="Noto Sans Symbols"/>
      </w:rPr>
    </w:lvl>
    <w:lvl w:ilvl="4">
      <w:start w:val="1"/>
      <w:numFmt w:val="bullet"/>
      <w:lvlText w:val="o"/>
      <w:lvlJc w:val="left"/>
      <w:pPr>
        <w:ind w:left="4168" w:hanging="360"/>
      </w:pPr>
      <w:rPr>
        <w:rFonts w:ascii="Courier New" w:eastAsia="Courier New" w:hAnsi="Courier New" w:cs="Courier New"/>
      </w:rPr>
    </w:lvl>
    <w:lvl w:ilvl="5">
      <w:start w:val="1"/>
      <w:numFmt w:val="bullet"/>
      <w:lvlText w:val="▪"/>
      <w:lvlJc w:val="left"/>
      <w:pPr>
        <w:ind w:left="4888" w:hanging="360"/>
      </w:pPr>
      <w:rPr>
        <w:rFonts w:ascii="Noto Sans Symbols" w:eastAsia="Noto Sans Symbols" w:hAnsi="Noto Sans Symbols" w:cs="Noto Sans Symbols"/>
      </w:rPr>
    </w:lvl>
    <w:lvl w:ilvl="6">
      <w:start w:val="1"/>
      <w:numFmt w:val="bullet"/>
      <w:lvlText w:val="●"/>
      <w:lvlJc w:val="left"/>
      <w:pPr>
        <w:ind w:left="5608" w:hanging="360"/>
      </w:pPr>
      <w:rPr>
        <w:rFonts w:ascii="Noto Sans Symbols" w:eastAsia="Noto Sans Symbols" w:hAnsi="Noto Sans Symbols" w:cs="Noto Sans Symbols"/>
      </w:rPr>
    </w:lvl>
    <w:lvl w:ilvl="7">
      <w:start w:val="1"/>
      <w:numFmt w:val="bullet"/>
      <w:lvlText w:val="o"/>
      <w:lvlJc w:val="left"/>
      <w:pPr>
        <w:ind w:left="6328" w:hanging="360"/>
      </w:pPr>
      <w:rPr>
        <w:rFonts w:ascii="Courier New" w:eastAsia="Courier New" w:hAnsi="Courier New" w:cs="Courier New"/>
      </w:rPr>
    </w:lvl>
    <w:lvl w:ilvl="8">
      <w:start w:val="1"/>
      <w:numFmt w:val="bullet"/>
      <w:lvlText w:val="▪"/>
      <w:lvlJc w:val="left"/>
      <w:pPr>
        <w:ind w:left="7048" w:hanging="360"/>
      </w:pPr>
      <w:rPr>
        <w:rFonts w:ascii="Noto Sans Symbols" w:eastAsia="Noto Sans Symbols" w:hAnsi="Noto Sans Symbols" w:cs="Noto Sans Symbols"/>
      </w:rPr>
    </w:lvl>
  </w:abstractNum>
  <w:abstractNum w:abstractNumId="55" w15:restartNumberingAfterBreak="0">
    <w:nsid w:val="64D874F9"/>
    <w:multiLevelType w:val="multilevel"/>
    <w:tmpl w:val="77D487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6B6E3ABD"/>
    <w:multiLevelType w:val="multilevel"/>
    <w:tmpl w:val="3BE8AEB2"/>
    <w:lvl w:ilvl="0">
      <w:start w:val="3"/>
      <w:numFmt w:val="lowerLetter"/>
      <w:lvlText w:val="%1."/>
      <w:lvlJc w:val="left"/>
      <w:pPr>
        <w:ind w:left="288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FF844F2"/>
    <w:multiLevelType w:val="multilevel"/>
    <w:tmpl w:val="4FFE311E"/>
    <w:lvl w:ilvl="0">
      <w:start w:val="1"/>
      <w:numFmt w:val="bullet"/>
      <w:lvlText w:val="●"/>
      <w:lvlJc w:val="left"/>
      <w:pPr>
        <w:ind w:left="720" w:hanging="360"/>
      </w:pPr>
      <w:rPr>
        <w:rFonts w:ascii="Georgia" w:eastAsia="Georgia" w:hAnsi="Georgia" w:cs="Georgia"/>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10D51B3"/>
    <w:multiLevelType w:val="multilevel"/>
    <w:tmpl w:val="2F2C3A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9" w15:restartNumberingAfterBreak="0">
    <w:nsid w:val="76666D67"/>
    <w:multiLevelType w:val="multilevel"/>
    <w:tmpl w:val="D02002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7836148E"/>
    <w:multiLevelType w:val="multilevel"/>
    <w:tmpl w:val="6D2243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79230C75"/>
    <w:multiLevelType w:val="multilevel"/>
    <w:tmpl w:val="31CCD4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2" w15:restartNumberingAfterBreak="0">
    <w:nsid w:val="79591462"/>
    <w:multiLevelType w:val="multilevel"/>
    <w:tmpl w:val="4BF0C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9BD1D2F"/>
    <w:multiLevelType w:val="multilevel"/>
    <w:tmpl w:val="7E1C82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7AE86ACD"/>
    <w:multiLevelType w:val="multilevel"/>
    <w:tmpl w:val="FD1A71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lowerLetter"/>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C4B2F12"/>
    <w:multiLevelType w:val="multilevel"/>
    <w:tmpl w:val="E2BC0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CAC2CAE"/>
    <w:multiLevelType w:val="multilevel"/>
    <w:tmpl w:val="72F237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35"/>
  </w:num>
  <w:num w:numId="4">
    <w:abstractNumId w:val="43"/>
  </w:num>
  <w:num w:numId="5">
    <w:abstractNumId w:val="18"/>
  </w:num>
  <w:num w:numId="6">
    <w:abstractNumId w:val="40"/>
  </w:num>
  <w:num w:numId="7">
    <w:abstractNumId w:val="61"/>
  </w:num>
  <w:num w:numId="8">
    <w:abstractNumId w:val="59"/>
  </w:num>
  <w:num w:numId="9">
    <w:abstractNumId w:val="8"/>
  </w:num>
  <w:num w:numId="10">
    <w:abstractNumId w:val="46"/>
  </w:num>
  <w:num w:numId="11">
    <w:abstractNumId w:val="7"/>
  </w:num>
  <w:num w:numId="12">
    <w:abstractNumId w:val="58"/>
  </w:num>
  <w:num w:numId="13">
    <w:abstractNumId w:val="50"/>
  </w:num>
  <w:num w:numId="14">
    <w:abstractNumId w:val="1"/>
  </w:num>
  <w:num w:numId="15">
    <w:abstractNumId w:val="60"/>
  </w:num>
  <w:num w:numId="16">
    <w:abstractNumId w:val="42"/>
  </w:num>
  <w:num w:numId="17">
    <w:abstractNumId w:val="25"/>
  </w:num>
  <w:num w:numId="18">
    <w:abstractNumId w:val="14"/>
  </w:num>
  <w:num w:numId="19">
    <w:abstractNumId w:val="9"/>
  </w:num>
  <w:num w:numId="20">
    <w:abstractNumId w:val="51"/>
  </w:num>
  <w:num w:numId="21">
    <w:abstractNumId w:val="55"/>
  </w:num>
  <w:num w:numId="22">
    <w:abstractNumId w:val="48"/>
  </w:num>
  <w:num w:numId="23">
    <w:abstractNumId w:val="5"/>
  </w:num>
  <w:num w:numId="24">
    <w:abstractNumId w:val="17"/>
  </w:num>
  <w:num w:numId="25">
    <w:abstractNumId w:val="29"/>
  </w:num>
  <w:num w:numId="26">
    <w:abstractNumId w:val="13"/>
  </w:num>
  <w:num w:numId="27">
    <w:abstractNumId w:val="31"/>
  </w:num>
  <w:num w:numId="28">
    <w:abstractNumId w:val="41"/>
  </w:num>
  <w:num w:numId="29">
    <w:abstractNumId w:val="30"/>
  </w:num>
  <w:num w:numId="30">
    <w:abstractNumId w:val="56"/>
  </w:num>
  <w:num w:numId="31">
    <w:abstractNumId w:val="22"/>
  </w:num>
  <w:num w:numId="32">
    <w:abstractNumId w:val="26"/>
  </w:num>
  <w:num w:numId="33">
    <w:abstractNumId w:val="39"/>
  </w:num>
  <w:num w:numId="34">
    <w:abstractNumId w:val="63"/>
  </w:num>
  <w:num w:numId="35">
    <w:abstractNumId w:val="32"/>
  </w:num>
  <w:num w:numId="36">
    <w:abstractNumId w:val="65"/>
  </w:num>
  <w:num w:numId="37">
    <w:abstractNumId w:val="52"/>
  </w:num>
  <w:num w:numId="38">
    <w:abstractNumId w:val="2"/>
  </w:num>
  <w:num w:numId="39">
    <w:abstractNumId w:val="33"/>
  </w:num>
  <w:num w:numId="40">
    <w:abstractNumId w:val="12"/>
  </w:num>
  <w:num w:numId="41">
    <w:abstractNumId w:val="44"/>
  </w:num>
  <w:num w:numId="42">
    <w:abstractNumId w:val="11"/>
  </w:num>
  <w:num w:numId="43">
    <w:abstractNumId w:val="57"/>
  </w:num>
  <w:num w:numId="44">
    <w:abstractNumId w:val="47"/>
  </w:num>
  <w:num w:numId="45">
    <w:abstractNumId w:val="15"/>
  </w:num>
  <w:num w:numId="46">
    <w:abstractNumId w:val="37"/>
  </w:num>
  <w:num w:numId="47">
    <w:abstractNumId w:val="54"/>
  </w:num>
  <w:num w:numId="48">
    <w:abstractNumId w:val="3"/>
  </w:num>
  <w:num w:numId="49">
    <w:abstractNumId w:val="53"/>
  </w:num>
  <w:num w:numId="50">
    <w:abstractNumId w:val="34"/>
  </w:num>
  <w:num w:numId="51">
    <w:abstractNumId w:val="20"/>
  </w:num>
  <w:num w:numId="52">
    <w:abstractNumId w:val="23"/>
  </w:num>
  <w:num w:numId="53">
    <w:abstractNumId w:val="21"/>
  </w:num>
  <w:num w:numId="54">
    <w:abstractNumId w:val="16"/>
  </w:num>
  <w:num w:numId="55">
    <w:abstractNumId w:val="0"/>
  </w:num>
  <w:num w:numId="56">
    <w:abstractNumId w:val="6"/>
  </w:num>
  <w:num w:numId="57">
    <w:abstractNumId w:val="64"/>
  </w:num>
  <w:num w:numId="58">
    <w:abstractNumId w:val="10"/>
  </w:num>
  <w:num w:numId="59">
    <w:abstractNumId w:val="27"/>
  </w:num>
  <w:num w:numId="60">
    <w:abstractNumId w:val="49"/>
  </w:num>
  <w:num w:numId="61">
    <w:abstractNumId w:val="28"/>
  </w:num>
  <w:num w:numId="62">
    <w:abstractNumId w:val="45"/>
  </w:num>
  <w:num w:numId="63">
    <w:abstractNumId w:val="62"/>
  </w:num>
  <w:num w:numId="64">
    <w:abstractNumId w:val="36"/>
  </w:num>
  <w:num w:numId="65">
    <w:abstractNumId w:val="38"/>
  </w:num>
  <w:num w:numId="66">
    <w:abstractNumId w:val="66"/>
  </w:num>
  <w:num w:numId="67">
    <w:abstractNumId w:val="1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21E"/>
    <w:rsid w:val="0072721E"/>
    <w:rsid w:val="007F04EE"/>
    <w:rsid w:val="00BB5A31"/>
    <w:rsid w:val="00CA5C2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5:docId w15:val="{E3A94103-1890-4232-97AA-21DA329F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AU" w:eastAsia="en-AU" w:bidi="ar-SA"/>
      </w:rPr>
    </w:rPrDefault>
    <w:pPrDefault>
      <w:pPr>
        <w:spacing w:after="200"/>
        <w:ind w:left="56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0"/>
      <w:jc w:val="center"/>
      <w:outlineLvl w:val="0"/>
    </w:pPr>
    <w:rPr>
      <w:b/>
      <w:sz w:val="28"/>
      <w:szCs w:val="28"/>
    </w:rPr>
  </w:style>
  <w:style w:type="paragraph" w:styleId="Heading2">
    <w:name w:val="heading 2"/>
    <w:basedOn w:val="Normal"/>
    <w:next w:val="Normal"/>
    <w:pPr>
      <w:keepNext/>
      <w:keepLines/>
      <w:spacing w:after="0"/>
      <w:outlineLvl w:val="1"/>
    </w:pPr>
    <w:rPr>
      <w:b/>
    </w:rPr>
  </w:style>
  <w:style w:type="paragraph" w:styleId="Heading3">
    <w:name w:val="heading 3"/>
    <w:basedOn w:val="Normal"/>
    <w:next w:val="Normal"/>
    <w:pPr>
      <w:keepNext/>
      <w:keepLines/>
      <w:spacing w:after="0"/>
      <w:outlineLvl w:val="2"/>
    </w:pPr>
    <w:rPr>
      <w:b/>
      <w:i/>
    </w:rPr>
  </w:style>
  <w:style w:type="paragraph" w:styleId="Heading4">
    <w:name w:val="heading 4"/>
    <w:basedOn w:val="Normal"/>
    <w:next w:val="Normal"/>
    <w:pPr>
      <w:keepNext/>
      <w:keepLines/>
      <w:ind w:left="1077" w:hanging="357"/>
      <w:outlineLvl w:val="3"/>
    </w:pPr>
    <w:rPr>
      <w:b/>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ind w:left="357" w:hanging="357"/>
    </w:pPr>
    <w:rPr>
      <w:rFonts w:ascii="Cambria" w:eastAsia="Cambria" w:hAnsi="Cambria" w:cs="Cambria"/>
      <w:i/>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pPr>
      <w:spacing w:after="0"/>
    </w:pPr>
    <w:tblPr>
      <w:tblStyleRowBandSize w:val="1"/>
      <w:tblStyleColBandSize w:val="1"/>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etings.wcpfc.int/node/14250" TargetMode="External"/><Relationship Id="rId21" Type="http://schemas.openxmlformats.org/officeDocument/2006/relationships/hyperlink" Target="https://meetings.wcpfc.int/node/14222" TargetMode="External"/><Relationship Id="rId42" Type="http://schemas.openxmlformats.org/officeDocument/2006/relationships/hyperlink" Target="mailto:lianos.triantafillos@ffa.int" TargetMode="External"/><Relationship Id="rId63" Type="http://schemas.openxmlformats.org/officeDocument/2006/relationships/hyperlink" Target="https://meetings.wcpfc.int/node/11960" TargetMode="External"/><Relationship Id="rId84" Type="http://schemas.openxmlformats.org/officeDocument/2006/relationships/hyperlink" Target="https://meetings.wcpfc.int/node/14264" TargetMode="External"/><Relationship Id="rId138" Type="http://schemas.openxmlformats.org/officeDocument/2006/relationships/hyperlink" Target="https://meetings.wcpfc.int/node/14163" TargetMode="External"/><Relationship Id="rId159" Type="http://schemas.openxmlformats.org/officeDocument/2006/relationships/hyperlink" Target="https://meetings.wcpfc.int/node/9369" TargetMode="External"/><Relationship Id="rId107" Type="http://schemas.openxmlformats.org/officeDocument/2006/relationships/hyperlink" Target="https://meetings.wcpfc.int/node/14236" TargetMode="External"/><Relationship Id="rId11" Type="http://schemas.openxmlformats.org/officeDocument/2006/relationships/hyperlink" Target="mailto:pio.manoa@ffa.int" TargetMode="External"/><Relationship Id="rId32" Type="http://schemas.openxmlformats.org/officeDocument/2006/relationships/hyperlink" Target="https://meetings.wcpfc.int/node/12579" TargetMode="External"/><Relationship Id="rId53" Type="http://schemas.openxmlformats.org/officeDocument/2006/relationships/hyperlink" Target="https://meetings.wcpfc.int/node/14258" TargetMode="External"/><Relationship Id="rId74" Type="http://schemas.openxmlformats.org/officeDocument/2006/relationships/hyperlink" Target="https://meetings.wcpfc.int/node/14237" TargetMode="External"/><Relationship Id="rId128" Type="http://schemas.openxmlformats.org/officeDocument/2006/relationships/hyperlink" Target="mailto:ana.taholo@ffa.int" TargetMode="External"/><Relationship Id="rId149" Type="http://schemas.openxmlformats.org/officeDocument/2006/relationships/hyperlink" Target="mailto:ana.taholo@ffa.int" TargetMode="External"/><Relationship Id="rId5" Type="http://schemas.openxmlformats.org/officeDocument/2006/relationships/footnotes" Target="footnotes.xml"/><Relationship Id="rId95" Type="http://schemas.openxmlformats.org/officeDocument/2006/relationships/hyperlink" Target="mailto:lianos.triantafillos@ffa.int" TargetMode="External"/><Relationship Id="rId160" Type="http://schemas.openxmlformats.org/officeDocument/2006/relationships/header" Target="header1.xml"/><Relationship Id="rId22" Type="http://schemas.openxmlformats.org/officeDocument/2006/relationships/hyperlink" Target="mailto:pio.manoa@ffa.int" TargetMode="External"/><Relationship Id="rId43" Type="http://schemas.openxmlformats.org/officeDocument/2006/relationships/hyperlink" Target="https://meetings.wcpfc.int/node/13380" TargetMode="External"/><Relationship Id="rId64" Type="http://schemas.openxmlformats.org/officeDocument/2006/relationships/hyperlink" Target="https://meetings.wcpfc.int/node/11961" TargetMode="External"/><Relationship Id="rId118" Type="http://schemas.openxmlformats.org/officeDocument/2006/relationships/hyperlink" Target="mailto:reuben.sulu@ffa.int" TargetMode="External"/><Relationship Id="rId139" Type="http://schemas.openxmlformats.org/officeDocument/2006/relationships/hyperlink" Target="mailto:len.rodwell@ffa.int" TargetMode="External"/><Relationship Id="rId85" Type="http://schemas.openxmlformats.org/officeDocument/2006/relationships/hyperlink" Target="https://meetings.wcpfc.int/node/13380" TargetMode="External"/><Relationship Id="rId150" Type="http://schemas.openxmlformats.org/officeDocument/2006/relationships/hyperlink" Target="mailto:pio.manoa@ffa.int" TargetMode="External"/><Relationship Id="rId12" Type="http://schemas.openxmlformats.org/officeDocument/2006/relationships/hyperlink" Target="https://meetings.wcpfc.int/node/14239" TargetMode="External"/><Relationship Id="rId17" Type="http://schemas.openxmlformats.org/officeDocument/2006/relationships/hyperlink" Target="https://meetings.wcpfc.int/file/9969/download" TargetMode="External"/><Relationship Id="rId33" Type="http://schemas.openxmlformats.org/officeDocument/2006/relationships/hyperlink" Target="mailto:lianos.triantafillos@ffa.int" TargetMode="External"/><Relationship Id="rId38" Type="http://schemas.openxmlformats.org/officeDocument/2006/relationships/hyperlink" Target="https://meetings.wcpfc.int/node/14243" TargetMode="External"/><Relationship Id="rId59" Type="http://schemas.openxmlformats.org/officeDocument/2006/relationships/hyperlink" Target="https://meetings.wcpfc.int/node/14251" TargetMode="External"/><Relationship Id="rId103" Type="http://schemas.openxmlformats.org/officeDocument/2006/relationships/hyperlink" Target="https://meetings.wcpfc.int/node/12596" TargetMode="External"/><Relationship Id="rId108" Type="http://schemas.openxmlformats.org/officeDocument/2006/relationships/hyperlink" Target="https://meetings.wcpfc.int/node/14236" TargetMode="External"/><Relationship Id="rId124" Type="http://schemas.openxmlformats.org/officeDocument/2006/relationships/hyperlink" Target="https://meetings.wcpfc.int/node/13381" TargetMode="External"/><Relationship Id="rId129" Type="http://schemas.openxmlformats.org/officeDocument/2006/relationships/hyperlink" Target="https://meetings.wcpfc.int/node/14252" TargetMode="External"/><Relationship Id="rId54" Type="http://schemas.openxmlformats.org/officeDocument/2006/relationships/hyperlink" Target="mailto:joyce.samuelu-ahleong@ffa.int" TargetMode="External"/><Relationship Id="rId70" Type="http://schemas.openxmlformats.org/officeDocument/2006/relationships/hyperlink" Target="https://meetings.wcpfc.int/node/14251" TargetMode="External"/><Relationship Id="rId75" Type="http://schemas.openxmlformats.org/officeDocument/2006/relationships/hyperlink" Target="https://meetings.wcpfc.int/node/14237" TargetMode="External"/><Relationship Id="rId91" Type="http://schemas.openxmlformats.org/officeDocument/2006/relationships/hyperlink" Target="https://meetings.wcpfc.int/node/13380" TargetMode="External"/><Relationship Id="rId96" Type="http://schemas.openxmlformats.org/officeDocument/2006/relationships/hyperlink" Target="https://meetings.wcpfc.int/node/14247" TargetMode="External"/><Relationship Id="rId140" Type="http://schemas.openxmlformats.org/officeDocument/2006/relationships/hyperlink" Target="mailto:ana.taholo@ffa.int" TargetMode="External"/><Relationship Id="rId145" Type="http://schemas.openxmlformats.org/officeDocument/2006/relationships/hyperlink" Target="https://meetings.wcpfc.int/node/14255" TargetMode="External"/><Relationship Id="rId16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etings.wcpfc.int/node/14224" TargetMode="External"/><Relationship Id="rId28" Type="http://schemas.openxmlformats.org/officeDocument/2006/relationships/hyperlink" Target="https://meetings.wcpfc.int/node/14266" TargetMode="External"/><Relationship Id="rId49" Type="http://schemas.openxmlformats.org/officeDocument/2006/relationships/hyperlink" Target="https://meetings.wcpfc.int/node/12582" TargetMode="External"/><Relationship Id="rId114" Type="http://schemas.openxmlformats.org/officeDocument/2006/relationships/hyperlink" Target="https://meetings.wcpfc.int/node/12582" TargetMode="External"/><Relationship Id="rId119" Type="http://schemas.openxmlformats.org/officeDocument/2006/relationships/hyperlink" Target="https://meetings.wcpfc.int/node/13381" TargetMode="External"/><Relationship Id="rId44" Type="http://schemas.openxmlformats.org/officeDocument/2006/relationships/hyperlink" Target="https://meetings.wcpfc.int/node/14258" TargetMode="External"/><Relationship Id="rId60" Type="http://schemas.openxmlformats.org/officeDocument/2006/relationships/hyperlink" Target="https://meetings.wcpfc.int/node/13381" TargetMode="External"/><Relationship Id="rId65" Type="http://schemas.openxmlformats.org/officeDocument/2006/relationships/hyperlink" Target="https://meetings.wcpfc.int/node/12045" TargetMode="External"/><Relationship Id="rId81" Type="http://schemas.openxmlformats.org/officeDocument/2006/relationships/hyperlink" Target="mailto:joyce.samuelu-ahleong@ffa.int" TargetMode="External"/><Relationship Id="rId86" Type="http://schemas.openxmlformats.org/officeDocument/2006/relationships/hyperlink" Target="https://meetings.wcpfc.int/node/13319" TargetMode="External"/><Relationship Id="rId130" Type="http://schemas.openxmlformats.org/officeDocument/2006/relationships/hyperlink" Target="mailto:reuben.sulu@ffa.int" TargetMode="External"/><Relationship Id="rId135" Type="http://schemas.openxmlformats.org/officeDocument/2006/relationships/hyperlink" Target="https://meetings.wcpfc.int/node/14163" TargetMode="External"/><Relationship Id="rId151" Type="http://schemas.openxmlformats.org/officeDocument/2006/relationships/hyperlink" Target="https://meetings.wcpfc.int/node/14256" TargetMode="External"/><Relationship Id="rId156" Type="http://schemas.openxmlformats.org/officeDocument/2006/relationships/hyperlink" Target="https://www.wcpfc.int/implementation-article-30-convention" TargetMode="External"/><Relationship Id="rId13" Type="http://schemas.openxmlformats.org/officeDocument/2006/relationships/hyperlink" Target="mailto:pio.manoa@ffa.int" TargetMode="External"/><Relationship Id="rId18" Type="http://schemas.openxmlformats.org/officeDocument/2006/relationships/hyperlink" Target="https://meetings.wcpfc.int/file/9970/download" TargetMode="External"/><Relationship Id="rId39" Type="http://schemas.openxmlformats.org/officeDocument/2006/relationships/hyperlink" Target="https://meetings.wcpfc.int/node/14236" TargetMode="External"/><Relationship Id="rId109" Type="http://schemas.openxmlformats.org/officeDocument/2006/relationships/hyperlink" Target="https://meetings.wcpfc.int/node/14257" TargetMode="External"/><Relationship Id="rId34" Type="http://schemas.openxmlformats.org/officeDocument/2006/relationships/hyperlink" Target="https://meetings.wcpfc.int/node/14236" TargetMode="External"/><Relationship Id="rId50" Type="http://schemas.openxmlformats.org/officeDocument/2006/relationships/hyperlink" Target="https://meetings.wcpfc.int/node/14257" TargetMode="External"/><Relationship Id="rId55" Type="http://schemas.openxmlformats.org/officeDocument/2006/relationships/hyperlink" Target="https://meetings.wcpfc.int/node/14244" TargetMode="External"/><Relationship Id="rId76" Type="http://schemas.openxmlformats.org/officeDocument/2006/relationships/hyperlink" Target="https://meetings.wcpfc.int/node/12562" TargetMode="External"/><Relationship Id="rId97" Type="http://schemas.openxmlformats.org/officeDocument/2006/relationships/hyperlink" Target="https://meetings.wcpfc.int/node/13380" TargetMode="External"/><Relationship Id="rId104" Type="http://schemas.openxmlformats.org/officeDocument/2006/relationships/hyperlink" Target="mailto:lianos.triantafillos@ffa.int" TargetMode="External"/><Relationship Id="rId120" Type="http://schemas.openxmlformats.org/officeDocument/2006/relationships/hyperlink" Target="https://meetings.wcpfc.int/node/13381" TargetMode="External"/><Relationship Id="rId125" Type="http://schemas.openxmlformats.org/officeDocument/2006/relationships/hyperlink" Target="mailto:reuben.sulu@ffa.int" TargetMode="External"/><Relationship Id="rId141" Type="http://schemas.openxmlformats.org/officeDocument/2006/relationships/hyperlink" Target="https://meetings.wcpfc.int/node/14254" TargetMode="External"/><Relationship Id="rId146" Type="http://schemas.openxmlformats.org/officeDocument/2006/relationships/hyperlink" Target="https://meetings.wcpfc.int/node/14317" TargetMode="External"/><Relationship Id="rId7" Type="http://schemas.openxmlformats.org/officeDocument/2006/relationships/hyperlink" Target="https://meetings.wcpfc.int/node/add/meeting_registration?meeting=12927" TargetMode="External"/><Relationship Id="rId71" Type="http://schemas.openxmlformats.org/officeDocument/2006/relationships/hyperlink" Target="https://meetings.wcpfc.int/node/14251" TargetMode="External"/><Relationship Id="rId92" Type="http://schemas.openxmlformats.org/officeDocument/2006/relationships/hyperlink" Target="https://meetings.wcpfc.int/node/14248" TargetMode="External"/><Relationship Id="rId162" Type="http://schemas.openxmlformats.org/officeDocument/2006/relationships/header" Target="header2.xml"/><Relationship Id="rId2" Type="http://schemas.openxmlformats.org/officeDocument/2006/relationships/styles" Target="styles.xml"/><Relationship Id="rId29" Type="http://schemas.openxmlformats.org/officeDocument/2006/relationships/hyperlink" Target="mailto:reuben.sulu@ffa.int" TargetMode="External"/><Relationship Id="rId24" Type="http://schemas.openxmlformats.org/officeDocument/2006/relationships/hyperlink" Target="mailto:pio.manoa@ffa.int" TargetMode="External"/><Relationship Id="rId40" Type="http://schemas.openxmlformats.org/officeDocument/2006/relationships/hyperlink" Target="https://meetings.wcpfc.int/node/14236" TargetMode="External"/><Relationship Id="rId45" Type="http://schemas.openxmlformats.org/officeDocument/2006/relationships/hyperlink" Target="https://meetings.wcpfc.int/node/12582" TargetMode="External"/><Relationship Id="rId66" Type="http://schemas.openxmlformats.org/officeDocument/2006/relationships/hyperlink" Target="https://meetings.wcpfc.int/node/12545" TargetMode="External"/><Relationship Id="rId87" Type="http://schemas.openxmlformats.org/officeDocument/2006/relationships/hyperlink" Target="mailto:reuben.sulu@ffa.int" TargetMode="External"/><Relationship Id="rId110" Type="http://schemas.openxmlformats.org/officeDocument/2006/relationships/hyperlink" Target="https://meetings.wcpfc.int/node/14258" TargetMode="External"/><Relationship Id="rId115" Type="http://schemas.openxmlformats.org/officeDocument/2006/relationships/hyperlink" Target="https://meetings.wcpfc.int/node/12586" TargetMode="External"/><Relationship Id="rId131" Type="http://schemas.openxmlformats.org/officeDocument/2006/relationships/hyperlink" Target="https://meetings.wcpfc.int/meetings/nc17" TargetMode="External"/><Relationship Id="rId136" Type="http://schemas.openxmlformats.org/officeDocument/2006/relationships/hyperlink" Target="mailto:ana.taholo@ffa.int" TargetMode="External"/><Relationship Id="rId157" Type="http://schemas.openxmlformats.org/officeDocument/2006/relationships/hyperlink" Target="https://meetings.wcpfc.int/node/14153" TargetMode="External"/><Relationship Id="rId61" Type="http://schemas.openxmlformats.org/officeDocument/2006/relationships/hyperlink" Target="https://meetings.wcpfc.int/node/14266" TargetMode="External"/><Relationship Id="rId82" Type="http://schemas.openxmlformats.org/officeDocument/2006/relationships/hyperlink" Target="https://www.wcpfc.int/doc/cmm-2015-02/conservation-and-management-measure-south-pacific-albacore" TargetMode="External"/><Relationship Id="rId152" Type="http://schemas.openxmlformats.org/officeDocument/2006/relationships/hyperlink" Target="https://meetings.wcpfc.int/node/14278" TargetMode="External"/><Relationship Id="rId19" Type="http://schemas.openxmlformats.org/officeDocument/2006/relationships/hyperlink" Target="https://meetings.wcpfc.int/file/9985/download" TargetMode="External"/><Relationship Id="rId14" Type="http://schemas.openxmlformats.org/officeDocument/2006/relationships/hyperlink" Target="https://meetings.wcpfc.int/node/14240" TargetMode="External"/><Relationship Id="rId30" Type="http://schemas.openxmlformats.org/officeDocument/2006/relationships/hyperlink" Target="https://meetings.wcpfc.int/node/14235" TargetMode="External"/><Relationship Id="rId35" Type="http://schemas.openxmlformats.org/officeDocument/2006/relationships/hyperlink" Target="https://meetings.wcpfc.int/node/14236" TargetMode="External"/><Relationship Id="rId56" Type="http://schemas.openxmlformats.org/officeDocument/2006/relationships/hyperlink" Target="mailto:lianos.triantafillos@ffa.int" TargetMode="External"/><Relationship Id="rId77" Type="http://schemas.openxmlformats.org/officeDocument/2006/relationships/hyperlink" Target="mailto:joyce.samuelu-ahleong@ffa.int" TargetMode="External"/><Relationship Id="rId100" Type="http://schemas.openxmlformats.org/officeDocument/2006/relationships/hyperlink" Target="https://meetings.wcpfc.int/node/11550" TargetMode="External"/><Relationship Id="rId105" Type="http://schemas.openxmlformats.org/officeDocument/2006/relationships/hyperlink" Target="https://meetings.wcpfc.int/node/13380" TargetMode="External"/><Relationship Id="rId126" Type="http://schemas.openxmlformats.org/officeDocument/2006/relationships/hyperlink" Target="https://meetings.wcpfc.int/node/13380" TargetMode="External"/><Relationship Id="rId147" Type="http://schemas.openxmlformats.org/officeDocument/2006/relationships/hyperlink" Target="https://www.wcpfc.int/cms-iwg_2020" TargetMode="External"/><Relationship Id="rId8" Type="http://schemas.openxmlformats.org/officeDocument/2006/relationships/hyperlink" Target="https://ffa-int.zoom.us/meeting/register/tZ0sceuhpjgtHdDHYC2vkFw0_CKJzf6v0xgI" TargetMode="External"/><Relationship Id="rId51" Type="http://schemas.openxmlformats.org/officeDocument/2006/relationships/image" Target="media/image1.png"/><Relationship Id="rId72" Type="http://schemas.openxmlformats.org/officeDocument/2006/relationships/hyperlink" Target="https://meetings.wcpfc.int/node/14251" TargetMode="External"/><Relationship Id="rId93" Type="http://schemas.openxmlformats.org/officeDocument/2006/relationships/hyperlink" Target="https://meetings.wcpfc.int/node/14247" TargetMode="External"/><Relationship Id="rId98" Type="http://schemas.openxmlformats.org/officeDocument/2006/relationships/hyperlink" Target="https://meetings.wcpfc.int/node/14248" TargetMode="External"/><Relationship Id="rId121" Type="http://schemas.openxmlformats.org/officeDocument/2006/relationships/hyperlink" Target="https://meetings.wcpfc.int/node/11955" TargetMode="External"/><Relationship Id="rId142" Type="http://schemas.openxmlformats.org/officeDocument/2006/relationships/hyperlink" Target="https://meetings.wcpfc.int/node/14255" TargetMode="External"/><Relationship Id="rId163" Type="http://schemas.openxmlformats.org/officeDocument/2006/relationships/footer" Target="footer2.xml"/><Relationship Id="rId3" Type="http://schemas.openxmlformats.org/officeDocument/2006/relationships/settings" Target="settings.xml"/><Relationship Id="rId25" Type="http://schemas.openxmlformats.org/officeDocument/2006/relationships/hyperlink" Target="https://meetings.wcpfc.int/node/14226" TargetMode="External"/><Relationship Id="rId46" Type="http://schemas.openxmlformats.org/officeDocument/2006/relationships/hyperlink" Target="https://meetings.wcpfc.int/node/12582" TargetMode="External"/><Relationship Id="rId67" Type="http://schemas.openxmlformats.org/officeDocument/2006/relationships/hyperlink" Target="https://meetings.wcpfc.int/node/12547" TargetMode="External"/><Relationship Id="rId116" Type="http://schemas.openxmlformats.org/officeDocument/2006/relationships/hyperlink" Target="https://meetings.wcpfc.int/node/12581" TargetMode="External"/><Relationship Id="rId137" Type="http://schemas.openxmlformats.org/officeDocument/2006/relationships/hyperlink" Target="https://www.wcpfc.int/iwg-transhipment" TargetMode="External"/><Relationship Id="rId158" Type="http://schemas.openxmlformats.org/officeDocument/2006/relationships/image" Target="media/image3.png"/><Relationship Id="rId20" Type="http://schemas.openxmlformats.org/officeDocument/2006/relationships/hyperlink" Target="mailto:joyce.samuelu-ahleong@ffa.int" TargetMode="External"/><Relationship Id="rId41" Type="http://schemas.openxmlformats.org/officeDocument/2006/relationships/hyperlink" Target="https://meetings.wcpfc.int/node/14236" TargetMode="External"/><Relationship Id="rId62" Type="http://schemas.openxmlformats.org/officeDocument/2006/relationships/hyperlink" Target="https://meetings.wcpfc.int/node/14251" TargetMode="External"/><Relationship Id="rId83" Type="http://schemas.openxmlformats.org/officeDocument/2006/relationships/hyperlink" Target="https://meetings.wcpfc.int/node/14245" TargetMode="External"/><Relationship Id="rId88" Type="http://schemas.openxmlformats.org/officeDocument/2006/relationships/hyperlink" Target="https://meetings.wcpfc.int/node/14246" TargetMode="External"/><Relationship Id="rId111" Type="http://schemas.openxmlformats.org/officeDocument/2006/relationships/hyperlink" Target="https://meetings.wcpfc.int/node/14243" TargetMode="External"/><Relationship Id="rId132" Type="http://schemas.openxmlformats.org/officeDocument/2006/relationships/hyperlink" Target="mailto:ana.taholo@ffa.int" TargetMode="External"/><Relationship Id="rId153" Type="http://schemas.openxmlformats.org/officeDocument/2006/relationships/hyperlink" Target="https://meetings.wcpfc.int/node/14233" TargetMode="External"/><Relationship Id="rId15" Type="http://schemas.openxmlformats.org/officeDocument/2006/relationships/hyperlink" Target="mailto:pio.manoa@ffa.int" TargetMode="External"/><Relationship Id="rId36" Type="http://schemas.openxmlformats.org/officeDocument/2006/relationships/hyperlink" Target="https://meetings.wcpfc.int/node/13380" TargetMode="External"/><Relationship Id="rId57" Type="http://schemas.openxmlformats.org/officeDocument/2006/relationships/hyperlink" Target="https://meetings.wcpfc.int/node/13380" TargetMode="External"/><Relationship Id="rId106" Type="http://schemas.openxmlformats.org/officeDocument/2006/relationships/hyperlink" Target="https://meetings.wcpfc.int/node/14235" TargetMode="External"/><Relationship Id="rId127" Type="http://schemas.openxmlformats.org/officeDocument/2006/relationships/hyperlink" Target="https://docs.google.com/document/d/1lyFeIXTPpFf1hOItOql8zQYO92kvXEF09YnYD2URM0A/edit" TargetMode="External"/><Relationship Id="rId10" Type="http://schemas.openxmlformats.org/officeDocument/2006/relationships/hyperlink" Target="https://meetings.wcpfc.int/node/14238" TargetMode="External"/><Relationship Id="rId31" Type="http://schemas.openxmlformats.org/officeDocument/2006/relationships/hyperlink" Target="https://www.wcpfc.int/doc/wcpfc17-2020-11/updates-wcpo-skipjack-tuna-projected-stock-status-inform-consideration-updated" TargetMode="External"/><Relationship Id="rId52" Type="http://schemas.openxmlformats.org/officeDocument/2006/relationships/hyperlink" Target="https://ofp-sam.shinyapps.io/pimple/" TargetMode="External"/><Relationship Id="rId73" Type="http://schemas.openxmlformats.org/officeDocument/2006/relationships/hyperlink" Target="mailto:joyce.samuelu-ahleong@ffa.int" TargetMode="External"/><Relationship Id="rId78" Type="http://schemas.openxmlformats.org/officeDocument/2006/relationships/hyperlink" Target="https://meetings.wcpfc.int/node/13319" TargetMode="External"/><Relationship Id="rId94" Type="http://schemas.openxmlformats.org/officeDocument/2006/relationships/hyperlink" Target="https://meetings.wcpfc.int/node/14247" TargetMode="External"/><Relationship Id="rId99" Type="http://schemas.openxmlformats.org/officeDocument/2006/relationships/hyperlink" Target="https://meetings.wcpfc.int/node/11738" TargetMode="External"/><Relationship Id="rId101" Type="http://schemas.openxmlformats.org/officeDocument/2006/relationships/hyperlink" Target="https://meetings.wcpfc.int/node/14247" TargetMode="External"/><Relationship Id="rId122" Type="http://schemas.openxmlformats.org/officeDocument/2006/relationships/hyperlink" Target="https://docs.google.com/document/d/1pWO6Pv2JHuYKpWMczeY4rNUOG0l84KftezVb3qwFN4o/edit" TargetMode="External"/><Relationship Id="rId143" Type="http://schemas.openxmlformats.org/officeDocument/2006/relationships/image" Target="media/image2.png"/><Relationship Id="rId148" Type="http://schemas.openxmlformats.org/officeDocument/2006/relationships/hyperlink" Target="mailto:ana.taholo@ffa.int"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io.manoa@ffa.int" TargetMode="External"/><Relationship Id="rId26" Type="http://schemas.openxmlformats.org/officeDocument/2006/relationships/hyperlink" Target="mailto:allan.rahari@ffa.int" TargetMode="External"/><Relationship Id="rId47" Type="http://schemas.openxmlformats.org/officeDocument/2006/relationships/hyperlink" Target="https://meetings.wcpfc.int/node/14257" TargetMode="External"/><Relationship Id="rId68" Type="http://schemas.openxmlformats.org/officeDocument/2006/relationships/hyperlink" Target="https://meetings.wcpfc.int/node/12535" TargetMode="External"/><Relationship Id="rId89" Type="http://schemas.openxmlformats.org/officeDocument/2006/relationships/hyperlink" Target="mailto:lianos.triantafillos@ffa.int" TargetMode="External"/><Relationship Id="rId112" Type="http://schemas.openxmlformats.org/officeDocument/2006/relationships/hyperlink" Target="https://meetings.wcpfc.int/node/14250" TargetMode="External"/><Relationship Id="rId133" Type="http://schemas.openxmlformats.org/officeDocument/2006/relationships/hyperlink" Target="https://www.wcpfc.int/ERandEM-IWG" TargetMode="External"/><Relationship Id="rId154" Type="http://schemas.openxmlformats.org/officeDocument/2006/relationships/hyperlink" Target="https://meetings.wcpfc.int/node/14280" TargetMode="External"/><Relationship Id="rId16" Type="http://schemas.openxmlformats.org/officeDocument/2006/relationships/hyperlink" Target="https://meetings.wcpfc.int/file/9968/download" TargetMode="External"/><Relationship Id="rId37" Type="http://schemas.openxmlformats.org/officeDocument/2006/relationships/hyperlink" Target="https://meetings.wcpfc.int/node/14243" TargetMode="External"/><Relationship Id="rId58" Type="http://schemas.openxmlformats.org/officeDocument/2006/relationships/hyperlink" Target="mailto:joyce.samuelu-ahleong@ffa.int" TargetMode="External"/><Relationship Id="rId79" Type="http://schemas.openxmlformats.org/officeDocument/2006/relationships/hyperlink" Target="https://meetings.wcpfc.int/node/14245" TargetMode="External"/><Relationship Id="rId102" Type="http://schemas.openxmlformats.org/officeDocument/2006/relationships/hyperlink" Target="https://meetings.wcpfc.int/node/14247" TargetMode="External"/><Relationship Id="rId123" Type="http://schemas.openxmlformats.org/officeDocument/2006/relationships/hyperlink" Target="https://meetings.wcpfc.int/node/13381" TargetMode="External"/><Relationship Id="rId144" Type="http://schemas.openxmlformats.org/officeDocument/2006/relationships/hyperlink" Target="mailto:ana.taholo@ffa.int" TargetMode="External"/><Relationship Id="rId90" Type="http://schemas.openxmlformats.org/officeDocument/2006/relationships/hyperlink" Target="https://meetings.wcpfc.int/node/14247" TargetMode="External"/><Relationship Id="rId165" Type="http://schemas.openxmlformats.org/officeDocument/2006/relationships/theme" Target="theme/theme1.xml"/><Relationship Id="rId27" Type="http://schemas.openxmlformats.org/officeDocument/2006/relationships/hyperlink" Target="https://meetings.wcpfc.int/node/14241" TargetMode="External"/><Relationship Id="rId48" Type="http://schemas.openxmlformats.org/officeDocument/2006/relationships/hyperlink" Target="https://meetings.wcpfc.int/node/14258" TargetMode="External"/><Relationship Id="rId69" Type="http://schemas.openxmlformats.org/officeDocument/2006/relationships/hyperlink" Target="https://meetings.wcpfc.int/node/14251" TargetMode="External"/><Relationship Id="rId113" Type="http://schemas.openxmlformats.org/officeDocument/2006/relationships/hyperlink" Target="https://meetings.wcpfc.int/node/14250" TargetMode="External"/><Relationship Id="rId134" Type="http://schemas.openxmlformats.org/officeDocument/2006/relationships/hyperlink" Target="https://meetings.wcpfc.int/meetings/erandemwg4" TargetMode="External"/><Relationship Id="rId80" Type="http://schemas.openxmlformats.org/officeDocument/2006/relationships/hyperlink" Target="https://meetings.wcpfc.int/node/13380" TargetMode="External"/><Relationship Id="rId155" Type="http://schemas.openxmlformats.org/officeDocument/2006/relationships/hyperlink" Target="https://meetings.wcpfc.int/node/1430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eetings.wcpfc.int/node/875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92</Pages>
  <Words>31800</Words>
  <Characters>181264</Characters>
  <Application>Microsoft Office Word</Application>
  <DocSecurity>0</DocSecurity>
  <Lines>1510</Lines>
  <Paragraphs>425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Vave-Erekali</dc:creator>
  <cp:lastModifiedBy>Anne Vave-Erekali</cp:lastModifiedBy>
  <cp:revision>2</cp:revision>
  <cp:lastPrinted>2023-03-06T23:01:00Z</cp:lastPrinted>
  <dcterms:created xsi:type="dcterms:W3CDTF">2023-03-07T01:06:00Z</dcterms:created>
  <dcterms:modified xsi:type="dcterms:W3CDTF">2023-03-07T01:06:00Z</dcterms:modified>
</cp:coreProperties>
</file>